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FB" w:rsidRPr="00CD73FB" w:rsidRDefault="00CD73FB" w:rsidP="00CD73FB">
      <w:pPr>
        <w:spacing w:before="100" w:beforeAutospacing="1" w:after="100" w:afterAutospacing="1" w:line="240" w:lineRule="auto"/>
        <w:jc w:val="center"/>
        <w:rPr>
          <w:rFonts w:ascii="Trebuchet MS" w:eastAsia="Times New Roman" w:hAnsi="Trebuchet MS" w:cs="Times New Roman"/>
          <w:sz w:val="24"/>
          <w:szCs w:val="24"/>
        </w:rPr>
      </w:pPr>
      <w:r w:rsidRPr="00CD73FB">
        <w:rPr>
          <w:rFonts w:ascii="Trebuchet MS" w:eastAsia="Times New Roman" w:hAnsi="Trebuchet MS" w:cs="Times New Roman"/>
          <w:sz w:val="24"/>
          <w:szCs w:val="24"/>
        </w:rPr>
        <w:t>American University of Beirut</w:t>
      </w:r>
    </w:p>
    <w:p w:rsidR="00CD73FB" w:rsidRPr="00CD73FB" w:rsidRDefault="00CD73FB" w:rsidP="00CD73FB">
      <w:pPr>
        <w:spacing w:before="100" w:beforeAutospacing="1" w:after="100" w:afterAutospacing="1" w:line="240" w:lineRule="auto"/>
        <w:jc w:val="center"/>
        <w:rPr>
          <w:rFonts w:ascii="Trebuchet MS" w:eastAsia="Times New Roman" w:hAnsi="Trebuchet MS" w:cs="Times New Roman"/>
          <w:sz w:val="24"/>
          <w:szCs w:val="24"/>
        </w:rPr>
      </w:pPr>
      <w:r w:rsidRPr="00CD73FB">
        <w:rPr>
          <w:rFonts w:ascii="Trebuchet MS" w:eastAsia="Times New Roman" w:hAnsi="Trebuchet MS" w:cs="Times New Roman"/>
          <w:sz w:val="24"/>
          <w:szCs w:val="24"/>
        </w:rPr>
        <w:t>Suliman S. Olayan School of Business</w:t>
      </w:r>
    </w:p>
    <w:p w:rsidR="00CD73FB" w:rsidRPr="00CD73FB" w:rsidRDefault="00CD73FB" w:rsidP="00CD73FB">
      <w:pPr>
        <w:spacing w:before="100" w:beforeAutospacing="1" w:after="100" w:afterAutospacing="1" w:line="240" w:lineRule="auto"/>
        <w:jc w:val="center"/>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BBA Course Syllabus</w:t>
      </w:r>
    </w:p>
    <w:p w:rsidR="00CD73FB" w:rsidRPr="00CD73FB" w:rsidRDefault="00CD73FB" w:rsidP="00CD73FB">
      <w:pPr>
        <w:spacing w:before="100" w:beforeAutospacing="1" w:after="100" w:afterAutospacing="1" w:line="240" w:lineRule="auto"/>
        <w:jc w:val="center"/>
        <w:rPr>
          <w:rFonts w:ascii="Trebuchet MS" w:eastAsia="Times New Roman" w:hAnsi="Trebuchet MS" w:cs="Times New Roman"/>
          <w:sz w:val="24"/>
          <w:szCs w:val="24"/>
        </w:rPr>
      </w:pPr>
      <w:r w:rsidRPr="00CD73FB">
        <w:rPr>
          <w:rFonts w:ascii="Trebuchet MS" w:eastAsia="Times New Roman" w:hAnsi="Trebuchet MS" w:cs="Times New Roman"/>
          <w:sz w:val="24"/>
          <w:szCs w:val="24"/>
        </w:rPr>
        <w:t>Fall 2011-2012</w:t>
      </w:r>
    </w:p>
    <w:tbl>
      <w:tblPr>
        <w:tblW w:w="10440" w:type="dxa"/>
        <w:tblCellSpacing w:w="0" w:type="dxa"/>
        <w:tblCellMar>
          <w:left w:w="0" w:type="dxa"/>
          <w:right w:w="0" w:type="dxa"/>
        </w:tblCellMar>
        <w:tblLook w:val="04A0"/>
      </w:tblPr>
      <w:tblGrid>
        <w:gridCol w:w="2970"/>
        <w:gridCol w:w="7470"/>
      </w:tblGrid>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Course Number: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ACCT 210 </w:t>
            </w:r>
          </w:p>
          <w:p w:rsidR="00B76418" w:rsidRPr="00CD73FB" w:rsidRDefault="00B76418" w:rsidP="00CD73FB">
            <w:pPr>
              <w:spacing w:before="100" w:beforeAutospacing="1" w:after="100" w:afterAutospacing="1" w:line="240" w:lineRule="auto"/>
              <w:rPr>
                <w:rFonts w:ascii="Trebuchet MS" w:eastAsia="Times New Roman" w:hAnsi="Trebuchet MS" w:cs="Times New Roman"/>
                <w:sz w:val="24"/>
                <w:szCs w:val="24"/>
              </w:rPr>
            </w:pP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Course Name: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Financial Accounting </w:t>
            </w:r>
          </w:p>
          <w:p w:rsidR="00B76418" w:rsidRPr="00CD73FB" w:rsidRDefault="00B76418" w:rsidP="00CD73FB">
            <w:pPr>
              <w:spacing w:before="100" w:beforeAutospacing="1" w:after="100" w:afterAutospacing="1" w:line="240" w:lineRule="auto"/>
              <w:rPr>
                <w:rFonts w:ascii="Trebuchet MS" w:eastAsia="Times New Roman" w:hAnsi="Trebuchet MS" w:cs="Times New Roman"/>
                <w:sz w:val="24"/>
                <w:szCs w:val="24"/>
              </w:rPr>
            </w:pP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Credit Hours: </w:t>
            </w:r>
          </w:p>
        </w:tc>
        <w:tc>
          <w:tcPr>
            <w:tcW w:w="7470" w:type="dxa"/>
            <w:tcBorders>
              <w:top w:val="dotted" w:sz="6" w:space="0" w:color="808080"/>
              <w:left w:val="dotted" w:sz="6" w:space="0" w:color="808080"/>
              <w:bottom w:val="dotted" w:sz="6" w:space="0" w:color="808080"/>
              <w:right w:val="dotted" w:sz="6" w:space="0" w:color="808080"/>
            </w:tcBorders>
            <w:hideMark/>
          </w:tcPr>
          <w:p w:rsidR="00B76418" w:rsidRPr="00CD73FB" w:rsidRDefault="00CD73FB" w:rsidP="00B76418">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 </w:t>
            </w: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Section Number and Time: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Default="00912453" w:rsidP="00CD73FB">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Section 2: Tues and Thurs (from 11am till 12.15pm) in OSB 230</w:t>
            </w:r>
          </w:p>
          <w:p w:rsidR="00912453" w:rsidRDefault="00912453" w:rsidP="00912453">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S</w:t>
            </w:r>
            <w:r w:rsidR="00CA4B03">
              <w:rPr>
                <w:rFonts w:ascii="Trebuchet MS" w:eastAsia="Times New Roman" w:hAnsi="Trebuchet MS" w:cs="Times New Roman"/>
                <w:sz w:val="24"/>
                <w:szCs w:val="24"/>
              </w:rPr>
              <w:t xml:space="preserve">ection 5: Tues and Thurs (from </w:t>
            </w:r>
            <w:r>
              <w:rPr>
                <w:rFonts w:ascii="Trebuchet MS" w:eastAsia="Times New Roman" w:hAnsi="Trebuchet MS" w:cs="Times New Roman"/>
                <w:sz w:val="24"/>
                <w:szCs w:val="24"/>
              </w:rPr>
              <w:t>9.30am till 10.45am) in OSB 233</w:t>
            </w:r>
          </w:p>
          <w:p w:rsidR="00912453" w:rsidRDefault="00912453" w:rsidP="00912453">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Section 7: Tues and Thurs (from 8am till 9.15am) in OSB 241</w:t>
            </w:r>
          </w:p>
          <w:p w:rsidR="00912453" w:rsidRDefault="00912453" w:rsidP="00912453">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Section 13: Tues and Thurs (from 2 pm till 3.15pm) in OSB 238</w:t>
            </w:r>
          </w:p>
          <w:p w:rsidR="00B76418" w:rsidRPr="00CD73FB" w:rsidRDefault="00B76418" w:rsidP="00912453">
            <w:pPr>
              <w:spacing w:after="0" w:line="240" w:lineRule="auto"/>
              <w:rPr>
                <w:rFonts w:ascii="Trebuchet MS" w:eastAsia="Times New Roman" w:hAnsi="Trebuchet MS" w:cs="Times New Roman"/>
                <w:sz w:val="24"/>
                <w:szCs w:val="24"/>
              </w:rPr>
            </w:pP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1E7359" w:rsidP="00CD73FB">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b/>
                <w:bCs/>
                <w:sz w:val="24"/>
                <w:szCs w:val="24"/>
              </w:rPr>
              <w:t>Instructor</w:t>
            </w:r>
            <w:r w:rsidR="00CD73FB" w:rsidRPr="00CD73FB">
              <w:rPr>
                <w:rFonts w:ascii="Trebuchet MS" w:eastAsia="Times New Roman" w:hAnsi="Trebuchet MS" w:cs="Times New Roman"/>
                <w:b/>
                <w:bCs/>
                <w:sz w:val="24"/>
                <w:szCs w:val="24"/>
              </w:rPr>
              <w:t xml:space="preserve">: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Default="0088160C" w:rsidP="00CD73FB">
            <w:pPr>
              <w:spacing w:before="100" w:beforeAutospacing="1" w:after="100" w:afterAutospacing="1" w:line="240" w:lineRule="auto"/>
              <w:rPr>
                <w:rFonts w:ascii="Trebuchet MS" w:hAnsi="Trebuchet MS"/>
                <w:sz w:val="24"/>
                <w:szCs w:val="24"/>
              </w:rPr>
            </w:pPr>
            <w:r w:rsidRPr="00D210F2">
              <w:rPr>
                <w:rFonts w:ascii="Trebuchet MS" w:hAnsi="Trebuchet MS"/>
                <w:sz w:val="24"/>
                <w:szCs w:val="24"/>
              </w:rPr>
              <w:t>Ali Rkein, BS, MAS, MBA, PhD, CMA, CPA</w:t>
            </w:r>
          </w:p>
          <w:p w:rsidR="00B76418" w:rsidRPr="00D210F2" w:rsidRDefault="00B76418" w:rsidP="00CD73FB">
            <w:pPr>
              <w:spacing w:before="100" w:beforeAutospacing="1" w:after="100" w:afterAutospacing="1" w:line="240" w:lineRule="auto"/>
              <w:rPr>
                <w:rFonts w:ascii="Trebuchet MS" w:eastAsia="Times New Roman" w:hAnsi="Trebuchet MS" w:cs="Times New Roman"/>
                <w:sz w:val="24"/>
                <w:szCs w:val="24"/>
              </w:rPr>
            </w:pP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Office: </w:t>
            </w:r>
          </w:p>
        </w:tc>
        <w:tc>
          <w:tcPr>
            <w:tcW w:w="7470" w:type="dxa"/>
            <w:tcBorders>
              <w:top w:val="dotted" w:sz="6" w:space="0" w:color="808080"/>
              <w:left w:val="dotted" w:sz="6" w:space="0" w:color="808080"/>
              <w:bottom w:val="dotted" w:sz="6" w:space="0" w:color="808080"/>
              <w:right w:val="dotted" w:sz="6" w:space="0" w:color="808080"/>
            </w:tcBorders>
            <w:hideMark/>
          </w:tcPr>
          <w:p w:rsidR="00B76418" w:rsidRPr="00D210F2" w:rsidRDefault="0088160C" w:rsidP="00B76418">
            <w:pPr>
              <w:spacing w:after="0" w:line="240" w:lineRule="auto"/>
              <w:rPr>
                <w:rFonts w:ascii="Trebuchet MS" w:eastAsia="Times New Roman" w:hAnsi="Trebuchet MS" w:cs="Times New Roman"/>
                <w:sz w:val="24"/>
                <w:szCs w:val="24"/>
              </w:rPr>
            </w:pPr>
            <w:r w:rsidRPr="00D210F2">
              <w:rPr>
                <w:rFonts w:ascii="Trebuchet MS" w:eastAsia="Times New Roman" w:hAnsi="Trebuchet MS" w:cs="Times New Roman"/>
                <w:color w:val="333333"/>
                <w:sz w:val="24"/>
                <w:szCs w:val="24"/>
              </w:rPr>
              <w:t>OSB 339</w:t>
            </w: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Phone: </w:t>
            </w:r>
          </w:p>
        </w:tc>
        <w:tc>
          <w:tcPr>
            <w:tcW w:w="7470" w:type="dxa"/>
            <w:tcBorders>
              <w:top w:val="dotted" w:sz="6" w:space="0" w:color="808080"/>
              <w:left w:val="dotted" w:sz="6" w:space="0" w:color="808080"/>
              <w:bottom w:val="dotted" w:sz="6" w:space="0" w:color="808080"/>
              <w:right w:val="dotted" w:sz="6" w:space="0" w:color="808080"/>
            </w:tcBorders>
            <w:hideMark/>
          </w:tcPr>
          <w:p w:rsidR="00B76418" w:rsidRDefault="0088160C" w:rsidP="00B76418">
            <w:pPr>
              <w:spacing w:after="0" w:line="240" w:lineRule="auto"/>
              <w:rPr>
                <w:rFonts w:ascii="Trebuchet MS" w:hAnsi="Trebuchet MS"/>
                <w:sz w:val="24"/>
                <w:szCs w:val="24"/>
              </w:rPr>
            </w:pPr>
            <w:r w:rsidRPr="00D210F2">
              <w:rPr>
                <w:rFonts w:ascii="Trebuchet MS" w:hAnsi="Trebuchet MS"/>
                <w:sz w:val="24"/>
                <w:szCs w:val="24"/>
              </w:rPr>
              <w:t>01-374 374 Extension: 3732</w:t>
            </w:r>
          </w:p>
          <w:p w:rsidR="00B76418" w:rsidRPr="00D210F2" w:rsidRDefault="00B76418" w:rsidP="00B76418">
            <w:pPr>
              <w:spacing w:after="0" w:line="240" w:lineRule="auto"/>
              <w:rPr>
                <w:rFonts w:ascii="Trebuchet MS" w:eastAsia="Times New Roman" w:hAnsi="Trebuchet MS" w:cs="Times New Roman"/>
                <w:sz w:val="24"/>
                <w:szCs w:val="24"/>
              </w:rPr>
            </w:pP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E-mail: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Default="00BF28BE" w:rsidP="00CD73FB">
            <w:pPr>
              <w:spacing w:after="0" w:line="240" w:lineRule="auto"/>
            </w:pPr>
            <w:hyperlink r:id="rId5" w:history="1">
              <w:r w:rsidR="0088160C" w:rsidRPr="00D210F2">
                <w:rPr>
                  <w:rStyle w:val="Hyperlink"/>
                  <w:rFonts w:ascii="Trebuchet MS" w:eastAsia="Times New Roman" w:hAnsi="Trebuchet MS" w:cs="Times New Roman"/>
                  <w:sz w:val="24"/>
                  <w:szCs w:val="24"/>
                </w:rPr>
                <w:t>ar28@aub.edu.lb</w:t>
              </w:r>
            </w:hyperlink>
          </w:p>
          <w:p w:rsidR="00B76418" w:rsidRPr="00D210F2" w:rsidRDefault="00B76418" w:rsidP="00CD73FB">
            <w:pPr>
              <w:spacing w:after="0" w:line="240" w:lineRule="auto"/>
              <w:rPr>
                <w:rFonts w:ascii="Trebuchet MS" w:eastAsia="Times New Roman" w:hAnsi="Trebuchet MS" w:cs="Times New Roman"/>
                <w:sz w:val="24"/>
                <w:szCs w:val="24"/>
              </w:rPr>
            </w:pP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Office Hours: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Pr="00CD73FB" w:rsidRDefault="0088160C" w:rsidP="00B76418">
            <w:pPr>
              <w:rPr>
                <w:rFonts w:ascii="Trebuchet MS" w:eastAsia="Times New Roman" w:hAnsi="Trebuchet MS" w:cs="Times New Roman"/>
                <w:sz w:val="24"/>
                <w:szCs w:val="24"/>
              </w:rPr>
            </w:pPr>
            <w:r w:rsidRPr="00D210F2">
              <w:rPr>
                <w:rFonts w:ascii="Trebuchet MS" w:hAnsi="Trebuchet MS"/>
                <w:sz w:val="24"/>
                <w:szCs w:val="24"/>
              </w:rPr>
              <w:t>Tuesdays and Thursdays from 12.30pm till 2.00pm.</w:t>
            </w: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Required Materials: </w:t>
            </w:r>
          </w:p>
        </w:tc>
        <w:tc>
          <w:tcPr>
            <w:tcW w:w="7470" w:type="dxa"/>
            <w:tcBorders>
              <w:top w:val="dotted" w:sz="6" w:space="0" w:color="808080"/>
              <w:left w:val="dotted" w:sz="6" w:space="0" w:color="808080"/>
              <w:bottom w:val="dotted" w:sz="6" w:space="0" w:color="808080"/>
              <w:right w:val="dotted" w:sz="6" w:space="0" w:color="808080"/>
            </w:tcBorders>
            <w:hideMark/>
          </w:tcPr>
          <w:tbl>
            <w:tblPr>
              <w:tblW w:w="46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07"/>
              <w:gridCol w:w="3058"/>
            </w:tblGrid>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Textbook </w:t>
                  </w: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Textbook Name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Financial Accounting </w:t>
                  </w: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Author(s)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Williams, Haka, Bettner &amp; Carcello </w:t>
                  </w: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Publisher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McGraw-Hill </w:t>
                  </w: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Edition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15th edition, International Edition </w:t>
                  </w: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Year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ISBN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Required / Recommended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r>
          </w:tbl>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i/>
                <w:iCs/>
                <w:sz w:val="24"/>
                <w:szCs w:val="24"/>
              </w:rPr>
              <w:t xml:space="preserve">Other: </w:t>
            </w:r>
            <w:r w:rsidRPr="00CD73FB">
              <w:rPr>
                <w:rFonts w:ascii="Trebuchet MS" w:eastAsia="Times New Roman" w:hAnsi="Trebuchet MS" w:cs="Times New Roman"/>
                <w:sz w:val="24"/>
                <w:szCs w:val="24"/>
              </w:rPr>
              <w:t xml:space="preserve">Moodle announcements &amp; news. </w:t>
            </w:r>
          </w:p>
        </w:tc>
      </w:tr>
    </w:tbl>
    <w:p w:rsidR="00CD73FB" w:rsidRPr="00CD73FB" w:rsidRDefault="00CD73FB" w:rsidP="00CD73FB">
      <w:pPr>
        <w:spacing w:after="0" w:line="240" w:lineRule="auto"/>
        <w:rPr>
          <w:rFonts w:ascii="Trebuchet MS" w:eastAsia="Times New Roman" w:hAnsi="Trebuchet MS" w:cs="Times New Roman"/>
          <w:vanish/>
          <w:sz w:val="24"/>
          <w:szCs w:val="24"/>
        </w:rPr>
      </w:pPr>
    </w:p>
    <w:tbl>
      <w:tblPr>
        <w:tblW w:w="0" w:type="auto"/>
        <w:tblCellSpacing w:w="0" w:type="dxa"/>
        <w:tblCellMar>
          <w:left w:w="0" w:type="dxa"/>
          <w:right w:w="0" w:type="dxa"/>
        </w:tblCellMar>
        <w:tblLook w:val="04A0"/>
      </w:tblPr>
      <w:tblGrid>
        <w:gridCol w:w="2505"/>
        <w:gridCol w:w="6885"/>
      </w:tblGrid>
      <w:tr w:rsidR="00CD73FB" w:rsidRPr="00CD73FB" w:rsidTr="00CD73FB">
        <w:trPr>
          <w:tblCellSpacing w:w="0" w:type="dxa"/>
        </w:trPr>
        <w:tc>
          <w:tcPr>
            <w:tcW w:w="283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lastRenderedPageBreak/>
              <w:t xml:space="preserve">Prerequisites: </w:t>
            </w:r>
          </w:p>
        </w:tc>
        <w:tc>
          <w:tcPr>
            <w:tcW w:w="771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None </w:t>
            </w:r>
          </w:p>
        </w:tc>
      </w:tr>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Co requisites: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None </w:t>
            </w:r>
          </w:p>
          <w:p w:rsidR="00B76418" w:rsidRPr="00CD73FB" w:rsidRDefault="00B76418" w:rsidP="00CD73FB">
            <w:pPr>
              <w:spacing w:before="100" w:beforeAutospacing="1" w:after="100" w:afterAutospacing="1" w:line="240" w:lineRule="auto"/>
              <w:rPr>
                <w:rFonts w:ascii="Trebuchet MS" w:eastAsia="Times New Roman" w:hAnsi="Trebuchet MS" w:cs="Times New Roman"/>
                <w:sz w:val="24"/>
                <w:szCs w:val="24"/>
              </w:rPr>
            </w:pPr>
          </w:p>
        </w:tc>
      </w:tr>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Course Description: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An introduction to financial accounting that covers the use, interpretation, and analysis of the principal financial statements and other sources of financial information from a national and international perspective. </w:t>
            </w:r>
          </w:p>
          <w:p w:rsidR="00B76418" w:rsidRPr="00CD73FB" w:rsidRDefault="00B76418" w:rsidP="00CD73FB">
            <w:pPr>
              <w:spacing w:before="100" w:beforeAutospacing="1" w:after="100" w:afterAutospacing="1" w:line="240" w:lineRule="auto"/>
              <w:rPr>
                <w:rFonts w:ascii="Trebuchet MS" w:eastAsia="Times New Roman" w:hAnsi="Trebuchet MS" w:cs="Times New Roman"/>
                <w:sz w:val="24"/>
                <w:szCs w:val="24"/>
              </w:rPr>
            </w:pPr>
          </w:p>
        </w:tc>
      </w:tr>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Relationship to Other Coursework: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Financial Accounting is an introductory core business course. It introduces students to the language of business and its use as a tool for the decision making process. Students learn the underlying principles of externally reported financial information governed by the US GAAP. They learn the accounting cycle that enables them to prepare and analyze the financial statements. Students will be required to use this knowledge in other business courses that require them to make decisions based on reported financial information such as finance and management courses in that it provides them with the ability to understand the underlying economics of the financial statements and their implications. </w:t>
            </w:r>
          </w:p>
          <w:p w:rsidR="00B76418" w:rsidRPr="00CD73FB" w:rsidRDefault="00B76418" w:rsidP="00CD73FB">
            <w:pPr>
              <w:spacing w:before="100" w:beforeAutospacing="1" w:after="100" w:afterAutospacing="1" w:line="240" w:lineRule="auto"/>
              <w:rPr>
                <w:rFonts w:ascii="Trebuchet MS" w:eastAsia="Times New Roman" w:hAnsi="Trebuchet MS" w:cs="Times New Roman"/>
                <w:sz w:val="24"/>
                <w:szCs w:val="24"/>
              </w:rPr>
            </w:pPr>
          </w:p>
        </w:tc>
      </w:tr>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BBA Learning Goals Emphasized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This course is a core course – In this course students acquire basic accounting knowledge in preparing and communicating and understanding information which supports economic decision-making.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To this end the following BBA program learning goals are addressed throughout the course as follows: </w:t>
            </w:r>
          </w:p>
          <w:p w:rsidR="00CD73FB" w:rsidRPr="00CD73FB" w:rsidRDefault="00CD73FB" w:rsidP="00CD73FB">
            <w:pPr>
              <w:numPr>
                <w:ilvl w:val="0"/>
                <w:numId w:val="1"/>
              </w:num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i/>
                <w:iCs/>
                <w:sz w:val="24"/>
                <w:szCs w:val="24"/>
              </w:rPr>
              <w:t xml:space="preserve">B-LG1: Professional Business Knowledge </w:t>
            </w:r>
            <w:r w:rsidRPr="00CD73FB">
              <w:rPr>
                <w:rFonts w:ascii="Trebuchet MS" w:eastAsia="Times New Roman" w:hAnsi="Trebuchet MS" w:cs="Times New Roman"/>
                <w:sz w:val="24"/>
                <w:szCs w:val="24"/>
              </w:rPr>
              <w:t xml:space="preserve">– Through this course, students will acquire basic financial accounting knowledge that will allow them to understand accounting careers, the accounting cycle, the preparation of financial statements. </w:t>
            </w:r>
          </w:p>
          <w:p w:rsidR="00CD73FB" w:rsidRPr="00CD73FB" w:rsidRDefault="00CD73FB" w:rsidP="00CD73FB">
            <w:pPr>
              <w:numPr>
                <w:ilvl w:val="0"/>
                <w:numId w:val="2"/>
              </w:num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i/>
                <w:iCs/>
                <w:sz w:val="24"/>
                <w:szCs w:val="24"/>
              </w:rPr>
              <w:t xml:space="preserve">B-LG2 Decision Making </w:t>
            </w:r>
            <w:r w:rsidRPr="00CD73FB">
              <w:rPr>
                <w:rFonts w:ascii="Trebuchet MS" w:eastAsia="Times New Roman" w:hAnsi="Trebuchet MS" w:cs="Times New Roman"/>
                <w:sz w:val="24"/>
                <w:szCs w:val="24"/>
              </w:rPr>
              <w:t xml:space="preserve">– In this course, students will recognize and describe analytical quantitative approaches to business and decision-making situations, through the use of financial ratios and application of alternative accounting principles. They will also demonstrate competency in their application. </w:t>
            </w:r>
          </w:p>
        </w:tc>
      </w:tr>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lastRenderedPageBreak/>
              <w:t xml:space="preserve">Instructional Methodology: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Specific Learning Objectives for the Course: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Different teaching methodologies will be used such as lecture, class discussion, research, group project, and technology.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The Specific Learning Objectives (SLOs) for this course that map to the BBA program learning goals mentioned above are as follows: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i/>
                <w:iCs/>
                <w:sz w:val="24"/>
                <w:szCs w:val="24"/>
              </w:rPr>
              <w:t xml:space="preserve">B-LG1: Professional Business Knowledge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By the end of this course, students will: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 Use the accounting cycle to account for economic events.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 Prepare basic financial statements.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 Identify accounting career options.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i/>
                <w:iCs/>
                <w:sz w:val="24"/>
                <w:szCs w:val="24"/>
              </w:rPr>
              <w:t xml:space="preserve">B-LG2: Decision Making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 Recognize the impact of alternative accounting principles in the decision making process. </w:t>
            </w:r>
          </w:p>
          <w:p w:rsid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5. Interpret the financial statements from the perspective of external users. </w:t>
            </w:r>
          </w:p>
          <w:p w:rsidR="00B76418" w:rsidRPr="00CD73FB" w:rsidRDefault="00B76418" w:rsidP="00CD73FB">
            <w:pPr>
              <w:spacing w:before="100" w:beforeAutospacing="1" w:after="100" w:afterAutospacing="1" w:line="240" w:lineRule="auto"/>
              <w:rPr>
                <w:rFonts w:ascii="Trebuchet MS" w:eastAsia="Times New Roman" w:hAnsi="Trebuchet MS" w:cs="Times New Roman"/>
                <w:sz w:val="24"/>
                <w:szCs w:val="24"/>
              </w:rPr>
            </w:pPr>
          </w:p>
        </w:tc>
      </w:tr>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Course Assignments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i/>
                <w:iCs/>
                <w:sz w:val="24"/>
                <w:szCs w:val="24"/>
              </w:rPr>
              <w:t xml:space="preserve">HW </w:t>
            </w:r>
            <w:r w:rsidRPr="00CD73FB">
              <w:rPr>
                <w:rFonts w:ascii="Trebuchet MS" w:eastAsia="Times New Roman" w:hAnsi="Trebuchet MS" w:cs="Times New Roman"/>
                <w:sz w:val="24"/>
                <w:szCs w:val="24"/>
              </w:rPr>
              <w:t xml:space="preserve">: Home work exercises are posted on Moodle &amp; should be turned in on Moodle by the due date posted. Five HW will be selected at random and graded for the effort. </w:t>
            </w:r>
          </w:p>
          <w:p w:rsidR="00CD73FB" w:rsidRDefault="00BF28BE" w:rsidP="008B666F">
            <w:pPr>
              <w:spacing w:before="100" w:beforeAutospacing="1" w:after="100" w:afterAutospacing="1" w:line="240" w:lineRule="auto"/>
              <w:rPr>
                <w:rFonts w:ascii="Trebuchet MS" w:eastAsia="Times New Roman" w:hAnsi="Trebuchet MS" w:cs="Times New Roman"/>
                <w:sz w:val="24"/>
                <w:szCs w:val="24"/>
              </w:rPr>
            </w:pPr>
            <w:hyperlink r:id="rId6" w:tgtFrame="_blank" w:tooltip="Research assignment" w:history="1">
              <w:r w:rsidR="00CD73FB" w:rsidRPr="00CD73FB">
                <w:rPr>
                  <w:rFonts w:ascii="Trebuchet MS" w:eastAsia="Times New Roman" w:hAnsi="Trebuchet MS" w:cs="Times New Roman"/>
                  <w:i/>
                  <w:iCs/>
                  <w:color w:val="0000FF"/>
                  <w:sz w:val="24"/>
                  <w:szCs w:val="24"/>
                  <w:u w:val="single"/>
                </w:rPr>
                <w:t xml:space="preserve">Research assignment: </w:t>
              </w:r>
            </w:hyperlink>
            <w:r w:rsidR="00CD73FB" w:rsidRPr="00CD73FB">
              <w:rPr>
                <w:rFonts w:ascii="Trebuchet MS" w:eastAsia="Times New Roman" w:hAnsi="Trebuchet MS" w:cs="Times New Roman"/>
                <w:sz w:val="24"/>
                <w:szCs w:val="24"/>
              </w:rPr>
              <w:t xml:space="preserve"> Please refer to the link for details. </w:t>
            </w:r>
          </w:p>
          <w:p w:rsidR="00B76418" w:rsidRPr="00CD73FB" w:rsidRDefault="00B76418" w:rsidP="008B666F">
            <w:pPr>
              <w:spacing w:before="100" w:beforeAutospacing="1" w:after="100" w:afterAutospacing="1" w:line="240" w:lineRule="auto"/>
              <w:rPr>
                <w:rFonts w:ascii="Trebuchet MS" w:eastAsia="Times New Roman" w:hAnsi="Trebuchet MS" w:cs="Times New Roman"/>
                <w:sz w:val="24"/>
                <w:szCs w:val="24"/>
              </w:rPr>
            </w:pPr>
          </w:p>
        </w:tc>
      </w:tr>
      <w:tr w:rsidR="00CD73FB" w:rsidRPr="00CD73FB" w:rsidTr="00CD73FB">
        <w:trPr>
          <w:tblCellSpacing w:w="0" w:type="dxa"/>
        </w:trPr>
        <w:tc>
          <w:tcPr>
            <w:tcW w:w="283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Performance Evaluation and Grading: </w:t>
            </w:r>
          </w:p>
        </w:tc>
        <w:tc>
          <w:tcPr>
            <w:tcW w:w="7710" w:type="dxa"/>
            <w:tcBorders>
              <w:top w:val="dotted" w:sz="6" w:space="0" w:color="808080"/>
              <w:left w:val="dotted" w:sz="6" w:space="0" w:color="808080"/>
              <w:bottom w:val="dotted" w:sz="6" w:space="0" w:color="808080"/>
              <w:right w:val="dotted" w:sz="6" w:space="0" w:color="808080"/>
            </w:tcBorders>
            <w:hideMark/>
          </w:tcPr>
          <w:tbl>
            <w:tblPr>
              <w:tblW w:w="0" w:type="auto"/>
              <w:tblCellSpacing w:w="0" w:type="dxa"/>
              <w:tblCellMar>
                <w:left w:w="0" w:type="dxa"/>
                <w:right w:w="0" w:type="dxa"/>
              </w:tblCellMar>
              <w:tblLook w:val="04A0"/>
            </w:tblPr>
            <w:tblGrid>
              <w:gridCol w:w="3420"/>
              <w:gridCol w:w="2340"/>
            </w:tblGrid>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r>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Midterm </w:t>
                  </w: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40% </w:t>
                  </w:r>
                </w:p>
              </w:tc>
            </w:tr>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Final Exam </w:t>
                  </w: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40% </w:t>
                  </w:r>
                </w:p>
              </w:tc>
            </w:tr>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Research assignment </w:t>
                  </w: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10% </w:t>
                  </w:r>
                </w:p>
              </w:tc>
            </w:tr>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r>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HW, Attendance and Participation </w:t>
                  </w: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10% </w:t>
                  </w:r>
                </w:p>
              </w:tc>
            </w:tr>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Total </w:t>
                  </w:r>
                </w:p>
              </w:tc>
              <w:tc>
                <w:tcPr>
                  <w:tcW w:w="2340" w:type="dxa"/>
                  <w:tcBorders>
                    <w:top w:val="dotted" w:sz="6" w:space="0" w:color="808080"/>
                    <w:left w:val="dotted" w:sz="6" w:space="0" w:color="808080"/>
                    <w:bottom w:val="dotted" w:sz="6" w:space="0" w:color="808080"/>
                    <w:right w:val="dotted" w:sz="6" w:space="0" w:color="808080"/>
                  </w:tcBorders>
                  <w:hideMark/>
                </w:tcPr>
                <w:p w:rsid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100% </w:t>
                  </w:r>
                </w:p>
                <w:p w:rsidR="00B76418" w:rsidRDefault="00B76418" w:rsidP="00CD73FB">
                  <w:pPr>
                    <w:spacing w:before="100" w:beforeAutospacing="1" w:after="100" w:afterAutospacing="1" w:line="240" w:lineRule="auto"/>
                    <w:rPr>
                      <w:rFonts w:ascii="Trebuchet MS" w:eastAsia="Times New Roman" w:hAnsi="Trebuchet MS" w:cs="Times New Roman"/>
                      <w:sz w:val="24"/>
                      <w:szCs w:val="24"/>
                    </w:rPr>
                  </w:pPr>
                </w:p>
                <w:p w:rsidR="00B76418" w:rsidRDefault="00B76418" w:rsidP="00CD73FB">
                  <w:pPr>
                    <w:spacing w:before="100" w:beforeAutospacing="1" w:after="100" w:afterAutospacing="1" w:line="240" w:lineRule="auto"/>
                    <w:rPr>
                      <w:rFonts w:ascii="Trebuchet MS" w:eastAsia="Times New Roman" w:hAnsi="Trebuchet MS" w:cs="Times New Roman"/>
                      <w:sz w:val="24"/>
                      <w:szCs w:val="24"/>
                    </w:rPr>
                  </w:pPr>
                </w:p>
                <w:p w:rsidR="00B76418" w:rsidRPr="00CD73FB" w:rsidRDefault="00B76418" w:rsidP="00CD73FB">
                  <w:pPr>
                    <w:spacing w:before="100" w:beforeAutospacing="1" w:after="100" w:afterAutospacing="1" w:line="240" w:lineRule="auto"/>
                    <w:rPr>
                      <w:rFonts w:ascii="Trebuchet MS" w:eastAsia="Times New Roman" w:hAnsi="Trebuchet MS" w:cs="Times New Roman"/>
                      <w:sz w:val="24"/>
                      <w:szCs w:val="24"/>
                    </w:rPr>
                  </w:pPr>
                </w:p>
              </w:tc>
            </w:tr>
          </w:tbl>
          <w:p w:rsidR="00CD73FB" w:rsidRPr="00CD73FB" w:rsidRDefault="00CD73FB" w:rsidP="00CD73FB">
            <w:pPr>
              <w:spacing w:after="0" w:line="240" w:lineRule="auto"/>
              <w:rPr>
                <w:rFonts w:ascii="Trebuchet MS" w:eastAsia="Times New Roman" w:hAnsi="Trebuchet MS" w:cs="Times New Roman"/>
                <w:sz w:val="24"/>
                <w:szCs w:val="24"/>
              </w:rPr>
            </w:pPr>
          </w:p>
        </w:tc>
      </w:tr>
      <w:tr w:rsidR="00CD73FB" w:rsidRPr="00CD73FB" w:rsidTr="00CD73FB">
        <w:trPr>
          <w:tblCellSpacing w:w="0" w:type="dxa"/>
        </w:trPr>
        <w:tc>
          <w:tcPr>
            <w:tcW w:w="283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lastRenderedPageBreak/>
              <w:t xml:space="preserve">Summary of Topical Coverage: </w:t>
            </w:r>
          </w:p>
        </w:tc>
        <w:tc>
          <w:tcPr>
            <w:tcW w:w="7710" w:type="dxa"/>
            <w:tcBorders>
              <w:top w:val="dotted" w:sz="6" w:space="0" w:color="808080"/>
              <w:left w:val="dotted" w:sz="6" w:space="0" w:color="808080"/>
              <w:bottom w:val="dotted" w:sz="6" w:space="0" w:color="808080"/>
              <w:right w:val="dotted" w:sz="6" w:space="0" w:color="808080"/>
            </w:tcBorders>
            <w:hideMark/>
          </w:tcPr>
          <w:tbl>
            <w:tblPr>
              <w:tblW w:w="0" w:type="auto"/>
              <w:tblCellSpacing w:w="0" w:type="dxa"/>
              <w:tblCellMar>
                <w:left w:w="0" w:type="dxa"/>
                <w:right w:w="0" w:type="dxa"/>
              </w:tblCellMar>
              <w:tblLook w:val="04A0"/>
            </w:tblPr>
            <w:tblGrid>
              <w:gridCol w:w="3285"/>
              <w:gridCol w:w="1259"/>
              <w:gridCol w:w="990"/>
              <w:gridCol w:w="1080"/>
            </w:tblGrid>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 xml:space="preserve">SLO Referenced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 xml:space="preserve">Hours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 xml:space="preserve">% of Time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Accounting: Information for Decision Making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6.67%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Basic Financial Statements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1,2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6.67%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The Accounting Cycle: Capturing Economic Events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1,2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6.67%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The Accounting Cycle: Accruals &amp; Deferrals*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1,2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3.33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8.88%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The Accounting Cycle: Reporting Financial Results*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3.33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8.88%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Financial Assets*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3.33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8.88%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Midterm Exam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2.00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5.33%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Merchandising Activities*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6.67%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Inventories &amp; the COGS*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6.67%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Plant &amp; Intangible Assets*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6.67%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Liabilities*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1.67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4.45%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Stockholders Equity: Paid in Capital*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3.33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8.89%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Statement of Cash Flow*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5.50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14.67%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Total Hours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i/>
                      <w:iCs/>
                      <w:sz w:val="24"/>
                      <w:szCs w:val="24"/>
                    </w:rPr>
                    <w:t xml:space="preserve">(based on 15 weeks per semester @ 2.5 hours per week for 3 credit hours)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37.50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100%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r>
          </w:tbl>
          <w:p w:rsidR="00CD73FB" w:rsidRPr="00CD73FB" w:rsidRDefault="00CD73FB" w:rsidP="00CD73FB">
            <w:pPr>
              <w:spacing w:after="0" w:line="240" w:lineRule="auto"/>
              <w:rPr>
                <w:rFonts w:ascii="Trebuchet MS" w:eastAsia="Times New Roman" w:hAnsi="Trebuchet MS" w:cs="Times New Roman"/>
                <w:sz w:val="24"/>
                <w:szCs w:val="24"/>
              </w:rPr>
            </w:pPr>
          </w:p>
        </w:tc>
      </w:tr>
      <w:tr w:rsidR="00CD73FB" w:rsidRPr="00CD73FB" w:rsidTr="00CD73FB">
        <w:trPr>
          <w:tblCellSpacing w:w="0" w:type="dxa"/>
        </w:trPr>
        <w:tc>
          <w:tcPr>
            <w:tcW w:w="283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7710" w:type="dxa"/>
            <w:tcBorders>
              <w:top w:val="dotted" w:sz="6" w:space="0" w:color="808080"/>
              <w:left w:val="dotted" w:sz="6" w:space="0" w:color="808080"/>
              <w:bottom w:val="dotted" w:sz="6" w:space="0" w:color="808080"/>
              <w:right w:val="dotted" w:sz="6" w:space="0" w:color="808080"/>
            </w:tcBorders>
            <w:hideMark/>
          </w:tcPr>
          <w:p w:rsidR="00CD73FB" w:rsidRDefault="00CD73FB" w:rsidP="00CD73FB">
            <w:pPr>
              <w:spacing w:before="100" w:beforeAutospacing="1" w:after="100" w:afterAutospacing="1" w:line="240" w:lineRule="auto"/>
              <w:rPr>
                <w:rFonts w:ascii="Trebuchet MS" w:eastAsia="Times New Roman" w:hAnsi="Trebuchet MS" w:cs="Times New Roman"/>
                <w:b/>
                <w:bCs/>
                <w:sz w:val="24"/>
                <w:szCs w:val="24"/>
              </w:rPr>
            </w:pPr>
            <w:r w:rsidRPr="00CD73FB">
              <w:rPr>
                <w:rFonts w:ascii="Trebuchet MS" w:eastAsia="Times New Roman" w:hAnsi="Trebuchet MS" w:cs="Times New Roman"/>
                <w:b/>
                <w:bCs/>
                <w:sz w:val="24"/>
                <w:szCs w:val="24"/>
              </w:rPr>
              <w:t xml:space="preserve">*Certain Exclusions apply </w:t>
            </w:r>
          </w:p>
          <w:p w:rsidR="00B76418" w:rsidRPr="00CD73FB" w:rsidRDefault="00B76418" w:rsidP="00CD73FB">
            <w:pPr>
              <w:spacing w:before="100" w:beforeAutospacing="1" w:after="100" w:afterAutospacing="1" w:line="240" w:lineRule="auto"/>
              <w:rPr>
                <w:rFonts w:ascii="Trebuchet MS" w:eastAsia="Times New Roman" w:hAnsi="Trebuchet MS" w:cs="Times New Roman"/>
                <w:sz w:val="24"/>
                <w:szCs w:val="24"/>
              </w:rPr>
            </w:pPr>
          </w:p>
        </w:tc>
      </w:tr>
      <w:tr w:rsidR="00CD73FB" w:rsidRPr="00CD73FB" w:rsidTr="00CD73FB">
        <w:trPr>
          <w:tblCellSpacing w:w="0" w:type="dxa"/>
        </w:trPr>
        <w:tc>
          <w:tcPr>
            <w:tcW w:w="283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Use of Technology: </w:t>
            </w:r>
          </w:p>
        </w:tc>
        <w:tc>
          <w:tcPr>
            <w:tcW w:w="7710" w:type="dxa"/>
            <w:tcBorders>
              <w:top w:val="dotted" w:sz="6" w:space="0" w:color="808080"/>
              <w:left w:val="dotted" w:sz="6" w:space="0" w:color="808080"/>
              <w:bottom w:val="dotted" w:sz="6" w:space="0" w:color="808080"/>
              <w:right w:val="dotted" w:sz="6" w:space="0" w:color="808080"/>
            </w:tcBorders>
            <w:hideMark/>
          </w:tcPr>
          <w:p w:rsid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Students will be expected to use MS word and MS excel in completing their projects as well as Moodle. </w:t>
            </w:r>
          </w:p>
          <w:p w:rsidR="00B76418" w:rsidRPr="00CD73FB" w:rsidRDefault="00B76418" w:rsidP="00CD73FB">
            <w:pPr>
              <w:spacing w:before="100" w:beforeAutospacing="1" w:after="100" w:afterAutospacing="1" w:line="240" w:lineRule="auto"/>
              <w:rPr>
                <w:rFonts w:ascii="Trebuchet MS" w:eastAsia="Times New Roman" w:hAnsi="Trebuchet MS" w:cs="Times New Roman"/>
                <w:sz w:val="24"/>
                <w:szCs w:val="24"/>
              </w:rPr>
            </w:pPr>
          </w:p>
        </w:tc>
      </w:tr>
      <w:tr w:rsidR="00CD73FB" w:rsidRPr="00CD73FB" w:rsidTr="00CD73FB">
        <w:trPr>
          <w:tblCellSpacing w:w="0" w:type="dxa"/>
        </w:trPr>
        <w:tc>
          <w:tcPr>
            <w:tcW w:w="283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Academic Honesty: </w:t>
            </w:r>
          </w:p>
        </w:tc>
        <w:tc>
          <w:tcPr>
            <w:tcW w:w="7710" w:type="dxa"/>
            <w:tcBorders>
              <w:top w:val="dotted" w:sz="6" w:space="0" w:color="808080"/>
              <w:left w:val="dotted" w:sz="6" w:space="0" w:color="808080"/>
              <w:bottom w:val="dotted" w:sz="6" w:space="0" w:color="808080"/>
              <w:right w:val="dotted" w:sz="6" w:space="0" w:color="808080"/>
            </w:tcBorders>
            <w:hideMark/>
          </w:tcPr>
          <w:p w:rsid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Students are expected to complete all work with the highest standard of integrity in line with AUB’s Student Code of Conduct and OSB’s Honor Code. Plagiarism, forgery, cheating or any form of academic misconduct will not be tolerated. Any of the above may cause a student’s final course grade to be lowered significantly or the student may receive a failing grade, depending on the severity of the offence. Plagiarism is the presentation of the work of another as one’s own work. </w:t>
            </w:r>
          </w:p>
          <w:p w:rsidR="00B76418" w:rsidRDefault="00B76418" w:rsidP="00CD73FB">
            <w:pPr>
              <w:spacing w:before="100" w:beforeAutospacing="1" w:after="100" w:afterAutospacing="1" w:line="240" w:lineRule="auto"/>
              <w:rPr>
                <w:rFonts w:ascii="Trebuchet MS" w:eastAsia="Times New Roman" w:hAnsi="Trebuchet MS" w:cs="Times New Roman"/>
                <w:sz w:val="24"/>
                <w:szCs w:val="24"/>
              </w:rPr>
            </w:pPr>
          </w:p>
          <w:p w:rsidR="00B76418" w:rsidRPr="00CD73FB" w:rsidRDefault="00B76418" w:rsidP="00CD73FB">
            <w:pPr>
              <w:spacing w:before="100" w:beforeAutospacing="1" w:after="100" w:afterAutospacing="1" w:line="240" w:lineRule="auto"/>
              <w:rPr>
                <w:rFonts w:ascii="Trebuchet MS" w:eastAsia="Times New Roman" w:hAnsi="Trebuchet MS" w:cs="Times New Roman"/>
                <w:sz w:val="24"/>
                <w:szCs w:val="24"/>
              </w:rPr>
            </w:pPr>
          </w:p>
        </w:tc>
      </w:tr>
    </w:tbl>
    <w:p w:rsidR="00CD73FB" w:rsidRPr="00CD73FB" w:rsidRDefault="00CD73FB" w:rsidP="00CD73FB">
      <w:pPr>
        <w:spacing w:after="0" w:line="240" w:lineRule="auto"/>
        <w:rPr>
          <w:rFonts w:ascii="Trebuchet MS" w:eastAsia="Times New Roman" w:hAnsi="Trebuchet MS" w:cs="Times New Roman"/>
          <w:vanish/>
          <w:sz w:val="24"/>
          <w:szCs w:val="24"/>
        </w:rPr>
      </w:pPr>
    </w:p>
    <w:tbl>
      <w:tblPr>
        <w:tblW w:w="0" w:type="auto"/>
        <w:tblCellSpacing w:w="0" w:type="dxa"/>
        <w:tblCellMar>
          <w:left w:w="0" w:type="dxa"/>
          <w:right w:w="0" w:type="dxa"/>
        </w:tblCellMar>
        <w:tblLook w:val="04A0"/>
      </w:tblPr>
      <w:tblGrid>
        <w:gridCol w:w="2414"/>
        <w:gridCol w:w="6976"/>
      </w:tblGrid>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lastRenderedPageBreak/>
              <w:t xml:space="preserve">Other Course Policies: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Pr="00EC462B" w:rsidRDefault="00CD73FB" w:rsidP="00FB6854">
            <w:pPr>
              <w:numPr>
                <w:ilvl w:val="0"/>
                <w:numId w:val="3"/>
              </w:numPr>
              <w:spacing w:before="100" w:beforeAutospacing="1" w:after="100" w:afterAutospacing="1" w:line="240" w:lineRule="auto"/>
              <w:rPr>
                <w:rFonts w:ascii="Trebuchet MS" w:eastAsia="Times New Roman" w:hAnsi="Trebuchet MS" w:cs="Times New Roman"/>
                <w:sz w:val="24"/>
                <w:szCs w:val="24"/>
              </w:rPr>
            </w:pPr>
            <w:r w:rsidRPr="00EC462B">
              <w:rPr>
                <w:rFonts w:ascii="Trebuchet MS" w:eastAsia="Times New Roman" w:hAnsi="Trebuchet MS" w:cs="Times New Roman"/>
                <w:sz w:val="24"/>
                <w:szCs w:val="24"/>
                <w:u w:val="single"/>
              </w:rPr>
              <w:t>Attendance</w:t>
            </w:r>
            <w:r w:rsidRPr="00EC462B">
              <w:rPr>
                <w:rFonts w:ascii="Trebuchet MS" w:eastAsia="Times New Roman" w:hAnsi="Trebuchet MS" w:cs="Times New Roman"/>
                <w:sz w:val="24"/>
                <w:szCs w:val="24"/>
              </w:rPr>
              <w:t xml:space="preserve">: </w:t>
            </w:r>
            <w:r w:rsidR="00EC462B" w:rsidRPr="00EC462B">
              <w:rPr>
                <w:rFonts w:ascii="Trebuchet MS" w:eastAsia="Times New Roman" w:hAnsi="Trebuchet MS" w:cs="Times New Roman"/>
                <w:color w:val="333333"/>
                <w:sz w:val="24"/>
                <w:szCs w:val="24"/>
              </w:rPr>
              <w:t>Students who miss more than 2 weeks of classes during the first 10 weeks may be dropped from the course.</w:t>
            </w:r>
            <w:r w:rsidR="00EC462B" w:rsidRPr="00EC462B">
              <w:rPr>
                <w:rFonts w:ascii="Verdana" w:eastAsia="Times New Roman" w:hAnsi="Verdana" w:cs="Times New Roman"/>
                <w:color w:val="333333"/>
                <w:sz w:val="24"/>
                <w:szCs w:val="24"/>
              </w:rPr>
              <w:t xml:space="preserve"> </w:t>
            </w:r>
          </w:p>
          <w:p w:rsidR="00CD73FB" w:rsidRPr="00CD73FB" w:rsidRDefault="00CD73FB" w:rsidP="00CD73FB">
            <w:pPr>
              <w:numPr>
                <w:ilvl w:val="0"/>
                <w:numId w:val="3"/>
              </w:num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 xml:space="preserve">Participation: </w:t>
            </w:r>
            <w:r w:rsidRPr="00CD73FB">
              <w:rPr>
                <w:rFonts w:ascii="Trebuchet MS" w:eastAsia="Times New Roman" w:hAnsi="Trebuchet MS" w:cs="Times New Roman"/>
                <w:sz w:val="24"/>
                <w:szCs w:val="24"/>
              </w:rPr>
              <w:t xml:space="preserve">Constructive &amp; valuable participation in class &amp; on Moodle forums and activities is expected. </w:t>
            </w:r>
          </w:p>
          <w:p w:rsidR="00CD73FB" w:rsidRPr="00CD73FB" w:rsidRDefault="00CD73FB" w:rsidP="00CD73FB">
            <w:pPr>
              <w:numPr>
                <w:ilvl w:val="0"/>
                <w:numId w:val="3"/>
              </w:num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 xml:space="preserve">Deadlines and Due Dates: </w:t>
            </w:r>
            <w:r w:rsidRPr="00CD73FB">
              <w:rPr>
                <w:rFonts w:ascii="Trebuchet MS" w:eastAsia="Times New Roman" w:hAnsi="Trebuchet MS" w:cs="Times New Roman"/>
                <w:sz w:val="24"/>
                <w:szCs w:val="24"/>
              </w:rPr>
              <w:t xml:space="preserve">These will be strictly enforced. Written assignments are due at the </w:t>
            </w:r>
            <w:r w:rsidRPr="00CD73FB">
              <w:rPr>
                <w:rFonts w:ascii="Trebuchet MS" w:eastAsia="Times New Roman" w:hAnsi="Trebuchet MS" w:cs="Times New Roman"/>
                <w:sz w:val="24"/>
                <w:szCs w:val="24"/>
                <w:u w:val="single"/>
              </w:rPr>
              <w:t>beginning</w:t>
            </w:r>
            <w:r w:rsidRPr="00CD73FB">
              <w:rPr>
                <w:rFonts w:ascii="Trebuchet MS" w:eastAsia="Times New Roman" w:hAnsi="Trebuchet MS" w:cs="Times New Roman"/>
                <w:sz w:val="24"/>
                <w:szCs w:val="24"/>
              </w:rPr>
              <w:t xml:space="preserve"> of class on the due date. Late submissions will automatically lose 10% of the grade per day (24 hours). Missing work will be assigned a grade of zero. </w:t>
            </w:r>
          </w:p>
          <w:p w:rsidR="00CD73FB" w:rsidRPr="00CD73FB" w:rsidRDefault="00CD73FB" w:rsidP="00CD73FB">
            <w:pPr>
              <w:numPr>
                <w:ilvl w:val="0"/>
                <w:numId w:val="3"/>
              </w:num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Group work</w:t>
            </w:r>
            <w:r w:rsidRPr="00CD73FB">
              <w:rPr>
                <w:rFonts w:ascii="Trebuchet MS" w:eastAsia="Times New Roman" w:hAnsi="Trebuchet MS" w:cs="Times New Roman"/>
                <w:sz w:val="24"/>
                <w:szCs w:val="24"/>
              </w:rPr>
              <w:t xml:space="preserve">: Individuals must contribute their fair share to any group effort resulting in a deliverable to the instructor. In addition, everyone in the group will be held accountable for the quality, originality and proper sourcing of the entire group product. </w:t>
            </w:r>
          </w:p>
          <w:p w:rsidR="00CD73FB" w:rsidRPr="00CD73FB" w:rsidRDefault="00CD73FB" w:rsidP="00CD73FB">
            <w:pPr>
              <w:numPr>
                <w:ilvl w:val="0"/>
                <w:numId w:val="3"/>
              </w:num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 xml:space="preserve">Missing an Examination: </w:t>
            </w:r>
            <w:r w:rsidRPr="00CD73FB">
              <w:rPr>
                <w:rFonts w:ascii="Trebuchet MS" w:eastAsia="Times New Roman" w:hAnsi="Trebuchet MS" w:cs="Times New Roman"/>
                <w:sz w:val="24"/>
                <w:szCs w:val="24"/>
              </w:rPr>
              <w:t xml:space="preserve">A valid medical excuse from the infirmary is required to justify missing an examination. It is up to the instructor to allow a make-up exam. </w:t>
            </w:r>
          </w:p>
        </w:tc>
      </w:tr>
    </w:tbl>
    <w:p w:rsidR="00004F50" w:rsidRDefault="00004F50"/>
    <w:sectPr w:rsidR="00004F50" w:rsidSect="00004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6B3"/>
    <w:multiLevelType w:val="multilevel"/>
    <w:tmpl w:val="25F0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67096"/>
    <w:multiLevelType w:val="multilevel"/>
    <w:tmpl w:val="50D6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117A5"/>
    <w:multiLevelType w:val="multilevel"/>
    <w:tmpl w:val="9C10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50262"/>
    <w:multiLevelType w:val="multilevel"/>
    <w:tmpl w:val="1F72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3FB"/>
    <w:rsid w:val="00004F50"/>
    <w:rsid w:val="001E7359"/>
    <w:rsid w:val="00477121"/>
    <w:rsid w:val="004A0D50"/>
    <w:rsid w:val="0088160C"/>
    <w:rsid w:val="008B666F"/>
    <w:rsid w:val="00912453"/>
    <w:rsid w:val="00A77C71"/>
    <w:rsid w:val="00B76418"/>
    <w:rsid w:val="00BF28BE"/>
    <w:rsid w:val="00CA4B03"/>
    <w:rsid w:val="00CD73FB"/>
    <w:rsid w:val="00D210F2"/>
    <w:rsid w:val="00D70DB1"/>
    <w:rsid w:val="00EC462B"/>
    <w:rsid w:val="00FB68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73FB"/>
    <w:rPr>
      <w:b/>
      <w:bCs/>
    </w:rPr>
  </w:style>
  <w:style w:type="character" w:styleId="Hyperlink">
    <w:name w:val="Hyperlink"/>
    <w:basedOn w:val="DefaultParagraphFont"/>
    <w:uiPriority w:val="99"/>
    <w:semiHidden/>
    <w:unhideWhenUsed/>
    <w:rsid w:val="00CD73FB"/>
    <w:rPr>
      <w:color w:val="0000FF"/>
      <w:u w:val="single"/>
    </w:rPr>
  </w:style>
</w:styles>
</file>

<file path=word/webSettings.xml><?xml version="1.0" encoding="utf-8"?>
<w:webSettings xmlns:r="http://schemas.openxmlformats.org/officeDocument/2006/relationships" xmlns:w="http://schemas.openxmlformats.org/wordprocessingml/2006/main">
  <w:divs>
    <w:div w:id="16507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aub.edu.lb/mod/book/view.php?id=313529&amp;chapterid=1931" TargetMode="External"/><Relationship Id="rId5" Type="http://schemas.openxmlformats.org/officeDocument/2006/relationships/hyperlink" Target="mailto:ar28@aub.edu.l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989</Words>
  <Characters>5643</Characters>
  <Application>Microsoft Office Word</Application>
  <DocSecurity>0</DocSecurity>
  <Lines>47</Lines>
  <Paragraphs>13</Paragraphs>
  <ScaleCrop>false</ScaleCrop>
  <Company>AUB</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2011-09-26T08:11:00Z</dcterms:created>
  <dcterms:modified xsi:type="dcterms:W3CDTF">2011-09-30T08:21:00Z</dcterms:modified>
</cp:coreProperties>
</file>