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6E" w:rsidRPr="00915390" w:rsidRDefault="00915390" w:rsidP="00915390">
      <w:pPr>
        <w:pStyle w:val="Title"/>
        <w:jc w:val="center"/>
        <w:rPr>
          <w:sz w:val="48"/>
          <w:szCs w:val="48"/>
        </w:rPr>
      </w:pPr>
      <w:r w:rsidRPr="00915390">
        <w:rPr>
          <w:sz w:val="48"/>
          <w:szCs w:val="48"/>
        </w:rPr>
        <w:t>American University of Beirut</w:t>
      </w:r>
    </w:p>
    <w:p w:rsidR="00915390" w:rsidRPr="00915390" w:rsidRDefault="00915390" w:rsidP="00915390">
      <w:pPr>
        <w:pStyle w:val="Title"/>
        <w:jc w:val="center"/>
        <w:rPr>
          <w:sz w:val="48"/>
          <w:szCs w:val="48"/>
        </w:rPr>
      </w:pPr>
      <w:r w:rsidRPr="00915390">
        <w:rPr>
          <w:sz w:val="48"/>
          <w:szCs w:val="48"/>
        </w:rPr>
        <w:t>Faculty of Engineering and Architecture</w:t>
      </w:r>
    </w:p>
    <w:p w:rsidR="00915390" w:rsidRPr="00915390" w:rsidRDefault="00915390" w:rsidP="00915390">
      <w:pPr>
        <w:pStyle w:val="Title"/>
        <w:jc w:val="center"/>
        <w:rPr>
          <w:sz w:val="48"/>
          <w:szCs w:val="48"/>
        </w:rPr>
      </w:pPr>
      <w:r w:rsidRPr="00915390">
        <w:rPr>
          <w:sz w:val="48"/>
          <w:szCs w:val="48"/>
        </w:rPr>
        <w:t>Department of Electrical and Computer Engineering</w:t>
      </w:r>
    </w:p>
    <w:p w:rsidR="00915390" w:rsidRDefault="00915390" w:rsidP="00915390">
      <w:pPr>
        <w:pStyle w:val="IntenseQuote"/>
        <w:rPr>
          <w:sz w:val="40"/>
          <w:szCs w:val="40"/>
        </w:rPr>
      </w:pPr>
    </w:p>
    <w:p w:rsidR="00915390" w:rsidRPr="00B45626" w:rsidRDefault="00915390" w:rsidP="00915390">
      <w:pPr>
        <w:pStyle w:val="IntenseQuote"/>
        <w:rPr>
          <w:sz w:val="40"/>
          <w:szCs w:val="40"/>
        </w:rPr>
      </w:pPr>
      <w:r w:rsidRPr="00B45626">
        <w:rPr>
          <w:sz w:val="40"/>
          <w:szCs w:val="40"/>
        </w:rPr>
        <w:t xml:space="preserve">Electric Machines </w:t>
      </w:r>
      <w:proofErr w:type="spellStart"/>
      <w:r w:rsidRPr="00B45626">
        <w:rPr>
          <w:sz w:val="40"/>
          <w:szCs w:val="40"/>
        </w:rPr>
        <w:t>Lab_EECE</w:t>
      </w:r>
      <w:proofErr w:type="spellEnd"/>
      <w:r w:rsidRPr="00B45626">
        <w:rPr>
          <w:sz w:val="40"/>
          <w:szCs w:val="40"/>
        </w:rPr>
        <w:t xml:space="preserve"> 470L</w:t>
      </w:r>
    </w:p>
    <w:p w:rsidR="00915390" w:rsidRPr="00B45626" w:rsidRDefault="00915390" w:rsidP="00915390">
      <w:pPr>
        <w:pStyle w:val="IntenseQuote"/>
        <w:rPr>
          <w:sz w:val="40"/>
          <w:szCs w:val="40"/>
        </w:rPr>
      </w:pPr>
      <w:r>
        <w:rPr>
          <w:sz w:val="40"/>
          <w:szCs w:val="40"/>
        </w:rPr>
        <w:t>Experiment 2</w:t>
      </w:r>
    </w:p>
    <w:p w:rsidR="00915390" w:rsidRDefault="00915390" w:rsidP="00915390">
      <w:pPr>
        <w:pStyle w:val="IntenseQuote"/>
        <w:rPr>
          <w:sz w:val="40"/>
          <w:szCs w:val="40"/>
        </w:rPr>
      </w:pPr>
      <w:r>
        <w:rPr>
          <w:sz w:val="40"/>
          <w:szCs w:val="40"/>
        </w:rPr>
        <w:t xml:space="preserve">Unbalanced loading of </w:t>
      </w:r>
      <w:r w:rsidRPr="00B45626">
        <w:rPr>
          <w:sz w:val="40"/>
          <w:szCs w:val="40"/>
        </w:rPr>
        <w:t>Three Phase Transformers</w:t>
      </w:r>
    </w:p>
    <w:p w:rsidR="00915390" w:rsidRDefault="00915390" w:rsidP="00915390">
      <w:pPr>
        <w:rPr>
          <w:lang w:val="en-CA"/>
        </w:rPr>
      </w:pPr>
    </w:p>
    <w:p w:rsidR="00D05B87" w:rsidRPr="00915390" w:rsidRDefault="00D05B87" w:rsidP="00915390">
      <w:pPr>
        <w:rPr>
          <w:lang w:val="en-CA"/>
        </w:rPr>
      </w:pPr>
    </w:p>
    <w:p w:rsidR="005301B2" w:rsidRDefault="005301B2" w:rsidP="00915390">
      <w:pPr>
        <w:pStyle w:val="Title"/>
      </w:pPr>
    </w:p>
    <w:p w:rsidR="005301B2" w:rsidRDefault="005301B2" w:rsidP="00915390">
      <w:pPr>
        <w:pStyle w:val="Title"/>
      </w:pPr>
    </w:p>
    <w:p w:rsidR="005301B2" w:rsidRDefault="005301B2" w:rsidP="00915390">
      <w:pPr>
        <w:pStyle w:val="Title"/>
      </w:pPr>
    </w:p>
    <w:p w:rsidR="005301B2" w:rsidRDefault="005301B2" w:rsidP="00915390">
      <w:pPr>
        <w:pStyle w:val="Title"/>
      </w:pPr>
    </w:p>
    <w:p w:rsidR="005301B2" w:rsidRDefault="005301B2" w:rsidP="00915390">
      <w:pPr>
        <w:pStyle w:val="Title"/>
      </w:pPr>
    </w:p>
    <w:p w:rsidR="005301B2" w:rsidRDefault="005301B2" w:rsidP="00915390">
      <w:pPr>
        <w:pStyle w:val="Title"/>
      </w:pPr>
    </w:p>
    <w:p w:rsidR="005301B2" w:rsidRDefault="005301B2" w:rsidP="00915390">
      <w:pPr>
        <w:pStyle w:val="Title"/>
      </w:pPr>
    </w:p>
    <w:p w:rsidR="005301B2" w:rsidRDefault="005301B2" w:rsidP="00915390">
      <w:pPr>
        <w:pStyle w:val="Title"/>
      </w:pPr>
    </w:p>
    <w:p w:rsidR="00915390" w:rsidRPr="00B45626" w:rsidRDefault="00915390" w:rsidP="00915390">
      <w:pPr>
        <w:pStyle w:val="Title"/>
      </w:pPr>
      <w:r w:rsidRPr="00B45626">
        <w:lastRenderedPageBreak/>
        <w:t>Objectives:</w:t>
      </w:r>
    </w:p>
    <w:p w:rsidR="00915390" w:rsidRPr="00B45626" w:rsidRDefault="00915390" w:rsidP="00915390">
      <w:pPr>
        <w:jc w:val="both"/>
        <w:rPr>
          <w:rFonts w:asciiTheme="majorBidi" w:hAnsiTheme="majorBidi" w:cstheme="majorBidi"/>
          <w:sz w:val="26"/>
          <w:szCs w:val="26"/>
        </w:rPr>
      </w:pPr>
      <w:r w:rsidRPr="00B45626">
        <w:rPr>
          <w:rFonts w:asciiTheme="majorBidi" w:hAnsiTheme="majorBidi" w:cstheme="majorBidi"/>
          <w:sz w:val="26"/>
          <w:szCs w:val="26"/>
        </w:rPr>
        <w:t xml:space="preserve">The objectives of this experiment </w:t>
      </w:r>
      <w:r>
        <w:rPr>
          <w:rFonts w:asciiTheme="majorBidi" w:hAnsiTheme="majorBidi" w:cstheme="majorBidi"/>
          <w:sz w:val="26"/>
          <w:szCs w:val="26"/>
        </w:rPr>
        <w:t>are to study the effect of unbalanced loading of three phase transformer with different connections (delta-</w:t>
      </w:r>
      <w:proofErr w:type="spellStart"/>
      <w:r>
        <w:rPr>
          <w:rFonts w:asciiTheme="majorBidi" w:hAnsiTheme="majorBidi" w:cstheme="majorBidi"/>
          <w:sz w:val="26"/>
          <w:szCs w:val="26"/>
        </w:rPr>
        <w:t>Wye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Wye-Wye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Wye</w:t>
      </w:r>
      <w:proofErr w:type="spellEnd"/>
      <w:r>
        <w:rPr>
          <w:rFonts w:asciiTheme="majorBidi" w:hAnsiTheme="majorBidi" w:cstheme="majorBidi"/>
          <w:sz w:val="26"/>
          <w:szCs w:val="26"/>
        </w:rPr>
        <w:t>-Z) and to study the features and limitations of each connection.</w:t>
      </w:r>
    </w:p>
    <w:p w:rsidR="00915390" w:rsidRPr="00B45626" w:rsidRDefault="00915390" w:rsidP="00915390">
      <w:pPr>
        <w:pStyle w:val="Title"/>
      </w:pPr>
      <w:r w:rsidRPr="00B45626">
        <w:t>Procedure:</w:t>
      </w:r>
    </w:p>
    <w:p w:rsidR="00915390" w:rsidRPr="00B45626" w:rsidRDefault="0002025D" w:rsidP="00915390">
      <w:pPr>
        <w:pStyle w:val="IntenseQuote"/>
      </w:pPr>
      <w:proofErr w:type="spellStart"/>
      <w:r>
        <w:t>Delta_Wye</w:t>
      </w:r>
      <w:proofErr w:type="spellEnd"/>
      <w:r>
        <w:t>-n Connection</w:t>
      </w:r>
    </w:p>
    <w:p w:rsidR="00915390" w:rsidRPr="00B45626" w:rsidRDefault="00915390" w:rsidP="00915390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:rsidR="00915390" w:rsidRPr="00B45626" w:rsidRDefault="0002025D" w:rsidP="00915390">
      <w:pPr>
        <w:pStyle w:val="ListParagraph"/>
        <w:rPr>
          <w:rFonts w:asciiTheme="majorBidi" w:hAnsiTheme="majorBidi" w:cstheme="majorBidi"/>
          <w:sz w:val="26"/>
          <w:szCs w:val="26"/>
        </w:rPr>
      </w:pPr>
      <w:r w:rsidRPr="0002025D">
        <w:rPr>
          <w:rFonts w:asciiTheme="majorBidi" w:hAnsiTheme="majorBidi" w:cstheme="majorBidi"/>
          <w:noProof/>
          <w:sz w:val="26"/>
          <w:szCs w:val="26"/>
          <w:lang w:val="en-US"/>
        </w:rPr>
        <w:drawing>
          <wp:inline distT="0" distB="0" distL="0" distR="0">
            <wp:extent cx="4437020" cy="2800350"/>
            <wp:effectExtent l="19050" t="0" r="163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0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90" w:rsidRPr="00B45626" w:rsidRDefault="00915390" w:rsidP="000202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 w:rsidRPr="00B45626">
        <w:rPr>
          <w:rFonts w:asciiTheme="majorBidi" w:hAnsiTheme="majorBidi" w:cstheme="majorBidi"/>
          <w:sz w:val="26"/>
          <w:szCs w:val="26"/>
        </w:rPr>
        <w:t xml:space="preserve">Figure 1: Connection </w:t>
      </w:r>
      <w:r w:rsidR="0002025D">
        <w:rPr>
          <w:rFonts w:asciiTheme="majorBidi" w:hAnsiTheme="majorBidi" w:cstheme="majorBidi"/>
          <w:sz w:val="26"/>
          <w:szCs w:val="26"/>
        </w:rPr>
        <w:t xml:space="preserve">for the </w:t>
      </w:r>
      <w:proofErr w:type="spellStart"/>
      <w:r w:rsidR="0002025D">
        <w:rPr>
          <w:rFonts w:asciiTheme="majorBidi" w:hAnsiTheme="majorBidi" w:cstheme="majorBidi"/>
          <w:sz w:val="26"/>
          <w:szCs w:val="26"/>
        </w:rPr>
        <w:t>Delta_Wye</w:t>
      </w:r>
      <w:proofErr w:type="spellEnd"/>
      <w:r w:rsidR="0002025D">
        <w:rPr>
          <w:rFonts w:asciiTheme="majorBidi" w:hAnsiTheme="majorBidi" w:cstheme="majorBidi"/>
          <w:sz w:val="26"/>
          <w:szCs w:val="26"/>
        </w:rPr>
        <w:t xml:space="preserve"> Connection</w:t>
      </w:r>
    </w:p>
    <w:p w:rsidR="00915390" w:rsidRDefault="0002025D" w:rsidP="000202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We started the experiment by connecting the transformer as Delta on the primary and </w:t>
      </w:r>
      <w:proofErr w:type="spellStart"/>
      <w:r>
        <w:rPr>
          <w:rFonts w:asciiTheme="majorBidi" w:hAnsiTheme="majorBidi" w:cstheme="majorBidi"/>
          <w:sz w:val="26"/>
          <w:szCs w:val="26"/>
        </w:rPr>
        <w:t>Wye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at the secondary. To accomplish an unbalanced loading we load the phase c of the transformer with a varying resistance. The resistance is set at the maximum to ensure that we have minimum current flowing. </w:t>
      </w:r>
      <w:proofErr w:type="spellStart"/>
      <w:r>
        <w:rPr>
          <w:rFonts w:asciiTheme="majorBidi" w:hAnsiTheme="majorBidi" w:cstheme="majorBidi"/>
          <w:sz w:val="26"/>
          <w:szCs w:val="26"/>
        </w:rPr>
        <w:t>Theb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we minimize the resistance until we have rated current. However before opening the switch we measured the no-load voltage at the secondary in order to calculate the voltage regulation.</w:t>
      </w:r>
    </w:p>
    <w:p w:rsidR="0002025D" w:rsidRPr="00B45626" w:rsidRDefault="0002025D" w:rsidP="0002025D">
      <w:pPr>
        <w:rPr>
          <w:rFonts w:asciiTheme="majorBidi" w:hAnsiTheme="majorBidi" w:cstheme="majorBidi"/>
          <w:sz w:val="26"/>
          <w:szCs w:val="26"/>
        </w:rPr>
      </w:pPr>
    </w:p>
    <w:p w:rsidR="00915390" w:rsidRPr="00B45626" w:rsidRDefault="0002025D" w:rsidP="00915390">
      <w:pPr>
        <w:pStyle w:val="IntenseQuote"/>
      </w:pPr>
      <w:r>
        <w:lastRenderedPageBreak/>
        <w:t>Wye-Wye-n Connection</w:t>
      </w:r>
    </w:p>
    <w:p w:rsidR="00915390" w:rsidRPr="00B45626" w:rsidRDefault="0002025D" w:rsidP="00915390">
      <w:pPr>
        <w:pStyle w:val="ListParagraph"/>
        <w:rPr>
          <w:rFonts w:asciiTheme="majorBidi" w:hAnsiTheme="majorBidi" w:cstheme="majorBidi"/>
          <w:sz w:val="26"/>
          <w:szCs w:val="26"/>
        </w:rPr>
      </w:pPr>
      <w:r w:rsidRPr="0002025D">
        <w:rPr>
          <w:rFonts w:asciiTheme="majorBidi" w:hAnsiTheme="majorBidi" w:cstheme="majorBidi"/>
          <w:noProof/>
          <w:sz w:val="26"/>
          <w:szCs w:val="26"/>
          <w:lang w:val="en-US"/>
        </w:rPr>
        <w:drawing>
          <wp:inline distT="0" distB="0" distL="0" distR="0">
            <wp:extent cx="4572000" cy="23717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689" cy="2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90" w:rsidRPr="00B45626" w:rsidRDefault="00915390" w:rsidP="0002025D">
      <w:pPr>
        <w:pStyle w:val="ListParagraph"/>
        <w:rPr>
          <w:rFonts w:asciiTheme="majorBidi" w:hAnsiTheme="majorBidi" w:cstheme="majorBidi"/>
          <w:sz w:val="26"/>
          <w:szCs w:val="26"/>
        </w:rPr>
      </w:pPr>
      <w:r w:rsidRPr="00B45626">
        <w:rPr>
          <w:rFonts w:asciiTheme="majorBidi" w:hAnsiTheme="majorBidi" w:cstheme="majorBidi"/>
          <w:sz w:val="26"/>
          <w:szCs w:val="26"/>
        </w:rPr>
        <w:tab/>
      </w:r>
      <w:r w:rsidRPr="00B45626">
        <w:rPr>
          <w:rFonts w:asciiTheme="majorBidi" w:hAnsiTheme="majorBidi" w:cstheme="majorBidi"/>
          <w:sz w:val="26"/>
          <w:szCs w:val="26"/>
        </w:rPr>
        <w:tab/>
      </w:r>
      <w:r w:rsidRPr="00B45626">
        <w:rPr>
          <w:rFonts w:asciiTheme="majorBidi" w:hAnsiTheme="majorBidi" w:cstheme="majorBidi"/>
          <w:sz w:val="26"/>
          <w:szCs w:val="26"/>
        </w:rPr>
        <w:tab/>
      </w:r>
      <w:r w:rsidRPr="00B45626">
        <w:rPr>
          <w:rFonts w:asciiTheme="majorBidi" w:hAnsiTheme="majorBidi" w:cstheme="majorBidi"/>
          <w:sz w:val="26"/>
          <w:szCs w:val="26"/>
        </w:rPr>
        <w:tab/>
        <w:t xml:space="preserve">Figure 2: The </w:t>
      </w:r>
      <w:r w:rsidR="0002025D">
        <w:rPr>
          <w:rFonts w:asciiTheme="majorBidi" w:hAnsiTheme="majorBidi" w:cstheme="majorBidi"/>
          <w:sz w:val="26"/>
          <w:szCs w:val="26"/>
        </w:rPr>
        <w:t>Y-Y-n connection</w:t>
      </w:r>
    </w:p>
    <w:p w:rsidR="00915390" w:rsidRPr="00B45626" w:rsidRDefault="00915390" w:rsidP="00915390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:rsidR="00915390" w:rsidRPr="00B45626" w:rsidRDefault="0002025D" w:rsidP="00915390">
      <w:pPr>
        <w:pStyle w:val="ListParagrap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same procedure as above but the connection at the input </w:t>
      </w:r>
      <w:r w:rsidR="007F66D3">
        <w:rPr>
          <w:rFonts w:asciiTheme="majorBidi" w:hAnsiTheme="majorBidi" w:cstheme="majorBidi"/>
          <w:sz w:val="26"/>
          <w:szCs w:val="26"/>
        </w:rPr>
        <w:t>is change to Wye.</w:t>
      </w:r>
    </w:p>
    <w:p w:rsidR="00915390" w:rsidRDefault="007F66D3" w:rsidP="00915390">
      <w:pPr>
        <w:pStyle w:val="IntenseQuote"/>
      </w:pPr>
      <w:proofErr w:type="spellStart"/>
      <w:r>
        <w:t>Wye_Z</w:t>
      </w:r>
      <w:proofErr w:type="spellEnd"/>
      <w:r>
        <w:t>-n connection</w:t>
      </w:r>
    </w:p>
    <w:p w:rsidR="00915390" w:rsidRPr="009D6B6A" w:rsidRDefault="00915390" w:rsidP="00915390">
      <w:pPr>
        <w:ind w:firstLine="720"/>
      </w:pPr>
    </w:p>
    <w:p w:rsidR="00915390" w:rsidRPr="00B45626" w:rsidRDefault="007F66D3" w:rsidP="00915390">
      <w:pPr>
        <w:pStyle w:val="ListParagraph"/>
        <w:rPr>
          <w:rFonts w:asciiTheme="majorBidi" w:hAnsiTheme="majorBidi" w:cstheme="majorBidi"/>
          <w:sz w:val="26"/>
          <w:szCs w:val="26"/>
        </w:rPr>
      </w:pPr>
      <w:r w:rsidRPr="007F66D3">
        <w:rPr>
          <w:rFonts w:asciiTheme="majorBidi" w:hAnsiTheme="majorBidi" w:cstheme="majorBidi"/>
          <w:noProof/>
          <w:sz w:val="26"/>
          <w:szCs w:val="26"/>
          <w:lang w:val="en-US"/>
        </w:rPr>
        <w:drawing>
          <wp:inline distT="0" distB="0" distL="0" distR="0">
            <wp:extent cx="4762500" cy="220027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90" w:rsidRDefault="007F66D3" w:rsidP="007F66D3">
      <w:pPr>
        <w:pStyle w:val="ListParagrap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Figure 3: </w:t>
      </w:r>
      <w:proofErr w:type="spellStart"/>
      <w:r>
        <w:rPr>
          <w:rFonts w:asciiTheme="majorBidi" w:hAnsiTheme="majorBidi" w:cstheme="majorBidi"/>
          <w:sz w:val="26"/>
          <w:szCs w:val="26"/>
        </w:rPr>
        <w:t>Wye_Z</w:t>
      </w:r>
      <w:proofErr w:type="spellEnd"/>
      <w:r>
        <w:rPr>
          <w:rFonts w:asciiTheme="majorBidi" w:hAnsiTheme="majorBidi" w:cstheme="majorBidi"/>
          <w:sz w:val="26"/>
          <w:szCs w:val="26"/>
        </w:rPr>
        <w:t>-n Connection</w:t>
      </w:r>
    </w:p>
    <w:p w:rsidR="007F66D3" w:rsidRDefault="007F66D3" w:rsidP="007F66D3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:rsidR="007F66D3" w:rsidRPr="00B45626" w:rsidRDefault="007F66D3" w:rsidP="007F66D3">
      <w:pPr>
        <w:pStyle w:val="ListParagrap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same procedure as above but the connection at the input is change to Z.</w:t>
      </w:r>
    </w:p>
    <w:p w:rsidR="007F66D3" w:rsidRDefault="007F66D3" w:rsidP="007F66D3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:rsidR="007F66D3" w:rsidRPr="00B45626" w:rsidRDefault="007F66D3" w:rsidP="007F66D3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:rsidR="00915390" w:rsidRPr="00B45626" w:rsidRDefault="00915390" w:rsidP="00915390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:rsidR="00915390" w:rsidRPr="00B45626" w:rsidRDefault="00915390" w:rsidP="00915390">
      <w:pPr>
        <w:pStyle w:val="Title"/>
      </w:pPr>
      <w:r w:rsidRPr="00B45626">
        <w:lastRenderedPageBreak/>
        <w:t>Apparatus:</w:t>
      </w:r>
    </w:p>
    <w:p w:rsidR="007F66D3" w:rsidRPr="007F66D3" w:rsidRDefault="007F66D3" w:rsidP="007F66D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7F66D3">
        <w:rPr>
          <w:rFonts w:asciiTheme="majorBidi" w:hAnsiTheme="majorBidi" w:cstheme="majorBidi"/>
          <w:sz w:val="26"/>
          <w:szCs w:val="26"/>
        </w:rPr>
        <w:t>1. 3-phase transformer</w:t>
      </w:r>
    </w:p>
    <w:p w:rsidR="007F66D3" w:rsidRPr="007F66D3" w:rsidRDefault="007F66D3" w:rsidP="007F66D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7F66D3">
        <w:rPr>
          <w:rFonts w:asciiTheme="majorBidi" w:hAnsiTheme="majorBidi" w:cstheme="majorBidi"/>
          <w:sz w:val="26"/>
          <w:szCs w:val="26"/>
        </w:rPr>
        <w:t>2. Multi-meters (Quantity: 2)</w:t>
      </w:r>
    </w:p>
    <w:p w:rsidR="007F66D3" w:rsidRPr="007F66D3" w:rsidRDefault="007F66D3" w:rsidP="007F66D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7F66D3">
        <w:rPr>
          <w:rFonts w:asciiTheme="majorBidi" w:hAnsiTheme="majorBidi" w:cstheme="majorBidi"/>
          <w:sz w:val="26"/>
          <w:szCs w:val="26"/>
        </w:rPr>
        <w:t>3. 3-phase AC power supply (190V)</w:t>
      </w:r>
    </w:p>
    <w:p w:rsidR="007F66D3" w:rsidRPr="007F66D3" w:rsidRDefault="007F66D3" w:rsidP="007F66D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7F66D3">
        <w:rPr>
          <w:rFonts w:asciiTheme="majorBidi" w:hAnsiTheme="majorBidi" w:cstheme="majorBidi"/>
          <w:sz w:val="26"/>
          <w:szCs w:val="26"/>
        </w:rPr>
        <w:t>4. Variable resistor</w:t>
      </w:r>
    </w:p>
    <w:p w:rsidR="007F66D3" w:rsidRDefault="007F66D3" w:rsidP="007F66D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7F66D3">
        <w:rPr>
          <w:rFonts w:asciiTheme="majorBidi" w:hAnsiTheme="majorBidi" w:cstheme="majorBidi"/>
          <w:sz w:val="26"/>
          <w:szCs w:val="26"/>
        </w:rPr>
        <w:t>5. Connecting electric wires</w:t>
      </w:r>
    </w:p>
    <w:p w:rsidR="007F66D3" w:rsidRDefault="007F66D3" w:rsidP="007F66D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7F66D3" w:rsidRPr="00B45626" w:rsidRDefault="007F66D3" w:rsidP="007F66D3">
      <w:pPr>
        <w:pStyle w:val="Title"/>
      </w:pPr>
      <w:r w:rsidRPr="00B45626">
        <w:t>Measured Data Tabulation:</w:t>
      </w:r>
    </w:p>
    <w:p w:rsidR="00AB40B8" w:rsidRPr="00AB40B8" w:rsidRDefault="007F66D3" w:rsidP="00AB40B8">
      <w:pPr>
        <w:pStyle w:val="IntenseQuote"/>
        <w:rPr>
          <w:rFonts w:eastAsiaTheme="minorEastAsia"/>
        </w:rPr>
      </w:pPr>
      <w:proofErr w:type="spellStart"/>
      <w:r>
        <w:t>Delta_Wye</w:t>
      </w:r>
      <w:proofErr w:type="spellEnd"/>
      <w:r>
        <w:t>-n</w:t>
      </w:r>
    </w:p>
    <w:tbl>
      <w:tblPr>
        <w:tblStyle w:val="TableGrid"/>
        <w:tblW w:w="9177" w:type="dxa"/>
        <w:tblLook w:val="04A0"/>
      </w:tblPr>
      <w:tblGrid>
        <w:gridCol w:w="1138"/>
        <w:gridCol w:w="1114"/>
        <w:gridCol w:w="1115"/>
        <w:gridCol w:w="1115"/>
        <w:gridCol w:w="1296"/>
        <w:gridCol w:w="3399"/>
      </w:tblGrid>
      <w:tr w:rsidR="00CF74F7" w:rsidTr="00CF74F7">
        <w:trPr>
          <w:gridAfter w:val="1"/>
          <w:wAfter w:w="3399" w:type="dxa"/>
          <w:trHeight w:val="368"/>
        </w:trPr>
        <w:tc>
          <w:tcPr>
            <w:tcW w:w="1138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Switch open</w:t>
            </w:r>
          </w:p>
        </w:tc>
        <w:tc>
          <w:tcPr>
            <w:tcW w:w="4640" w:type="dxa"/>
            <w:gridSpan w:val="4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Switch closed</w:t>
            </w:r>
          </w:p>
        </w:tc>
      </w:tr>
      <w:tr w:rsidR="00CF74F7" w:rsidTr="00CF74F7">
        <w:trPr>
          <w:trHeight w:val="275"/>
        </w:trPr>
        <w:tc>
          <w:tcPr>
            <w:tcW w:w="1138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Vnl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(V)</w:t>
            </w:r>
          </w:p>
        </w:tc>
        <w:tc>
          <w:tcPr>
            <w:tcW w:w="1114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(A)</w:t>
            </w:r>
          </w:p>
        </w:tc>
        <w:tc>
          <w:tcPr>
            <w:tcW w:w="1115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Voc (V)</w:t>
            </w:r>
          </w:p>
        </w:tc>
        <w:tc>
          <w:tcPr>
            <w:tcW w:w="1115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Vob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(V)</w:t>
            </w:r>
          </w:p>
        </w:tc>
        <w:tc>
          <w:tcPr>
            <w:tcW w:w="1296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Voa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(V)</w:t>
            </w:r>
          </w:p>
        </w:tc>
        <w:tc>
          <w:tcPr>
            <w:tcW w:w="3399" w:type="dxa"/>
          </w:tcPr>
          <w:p w:rsidR="00CF74F7" w:rsidRDefault="00751D14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oa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ob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oc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</w:tr>
      <w:tr w:rsidR="00CF74F7" w:rsidTr="00CF74F7">
        <w:trPr>
          <w:trHeight w:val="290"/>
        </w:trPr>
        <w:tc>
          <w:tcPr>
            <w:tcW w:w="1138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1114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5.25</w:t>
            </w:r>
          </w:p>
        </w:tc>
        <w:tc>
          <w:tcPr>
            <w:tcW w:w="1115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65.8</w:t>
            </w:r>
          </w:p>
        </w:tc>
        <w:tc>
          <w:tcPr>
            <w:tcW w:w="1115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68.3</w:t>
            </w:r>
          </w:p>
        </w:tc>
        <w:tc>
          <w:tcPr>
            <w:tcW w:w="1296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67.9</w:t>
            </w:r>
          </w:p>
        </w:tc>
        <w:tc>
          <w:tcPr>
            <w:tcW w:w="3399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67.33</w:t>
            </w:r>
          </w:p>
        </w:tc>
      </w:tr>
    </w:tbl>
    <w:p w:rsidR="007F66D3" w:rsidRDefault="007F66D3" w:rsidP="007F66D3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:rsidR="00AB40B8" w:rsidRPr="00AB40B8" w:rsidRDefault="00AB40B8" w:rsidP="00AB40B8">
      <w:pPr>
        <w:pStyle w:val="IntenseQuote"/>
        <w:rPr>
          <w:rFonts w:eastAsiaTheme="minorEastAsia"/>
        </w:rPr>
      </w:pPr>
      <w:proofErr w:type="spellStart"/>
      <w:r>
        <w:t>Wye_Wye</w:t>
      </w:r>
      <w:proofErr w:type="spellEnd"/>
      <w:r>
        <w:t>-n</w:t>
      </w:r>
    </w:p>
    <w:tbl>
      <w:tblPr>
        <w:tblStyle w:val="TableGrid"/>
        <w:tblW w:w="9177" w:type="dxa"/>
        <w:tblLook w:val="04A0"/>
      </w:tblPr>
      <w:tblGrid>
        <w:gridCol w:w="1138"/>
        <w:gridCol w:w="1114"/>
        <w:gridCol w:w="1115"/>
        <w:gridCol w:w="1115"/>
        <w:gridCol w:w="1296"/>
        <w:gridCol w:w="3399"/>
      </w:tblGrid>
      <w:tr w:rsidR="00CF74F7" w:rsidTr="00C351E7">
        <w:trPr>
          <w:gridAfter w:val="1"/>
          <w:wAfter w:w="3399" w:type="dxa"/>
          <w:trHeight w:val="368"/>
        </w:trPr>
        <w:tc>
          <w:tcPr>
            <w:tcW w:w="1138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Switch open</w:t>
            </w:r>
          </w:p>
        </w:tc>
        <w:tc>
          <w:tcPr>
            <w:tcW w:w="4640" w:type="dxa"/>
            <w:gridSpan w:val="4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Switch closed</w:t>
            </w:r>
          </w:p>
        </w:tc>
      </w:tr>
      <w:tr w:rsidR="00CF74F7" w:rsidTr="00C351E7">
        <w:trPr>
          <w:trHeight w:val="275"/>
        </w:trPr>
        <w:tc>
          <w:tcPr>
            <w:tcW w:w="1138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Vnl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(V)</w:t>
            </w:r>
          </w:p>
        </w:tc>
        <w:tc>
          <w:tcPr>
            <w:tcW w:w="1114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(A)</w:t>
            </w:r>
          </w:p>
        </w:tc>
        <w:tc>
          <w:tcPr>
            <w:tcW w:w="1115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Voc (V)</w:t>
            </w:r>
          </w:p>
        </w:tc>
        <w:tc>
          <w:tcPr>
            <w:tcW w:w="1115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Vob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(V)</w:t>
            </w:r>
          </w:p>
        </w:tc>
        <w:tc>
          <w:tcPr>
            <w:tcW w:w="1296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Voa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(V)</w:t>
            </w:r>
          </w:p>
        </w:tc>
        <w:tc>
          <w:tcPr>
            <w:tcW w:w="3399" w:type="dxa"/>
          </w:tcPr>
          <w:p w:rsidR="00CF74F7" w:rsidRDefault="00751D14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oa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ob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oc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</w:tr>
      <w:tr w:rsidR="00CF74F7" w:rsidTr="00C351E7">
        <w:trPr>
          <w:trHeight w:val="290"/>
        </w:trPr>
        <w:tc>
          <w:tcPr>
            <w:tcW w:w="1138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1114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5.25</w:t>
            </w:r>
          </w:p>
        </w:tc>
        <w:tc>
          <w:tcPr>
            <w:tcW w:w="1115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65.1</w:t>
            </w:r>
          </w:p>
        </w:tc>
        <w:tc>
          <w:tcPr>
            <w:tcW w:w="1115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69.1</w:t>
            </w:r>
          </w:p>
        </w:tc>
        <w:tc>
          <w:tcPr>
            <w:tcW w:w="1296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66.9</w:t>
            </w:r>
          </w:p>
        </w:tc>
        <w:tc>
          <w:tcPr>
            <w:tcW w:w="3399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</w:tr>
    </w:tbl>
    <w:p w:rsidR="00CF74F7" w:rsidRDefault="00CF74F7" w:rsidP="00CF74F7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:rsidR="007F66D3" w:rsidRDefault="007F66D3" w:rsidP="007F66D3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:rsidR="00AB40B8" w:rsidRPr="00AB40B8" w:rsidRDefault="00AB40B8" w:rsidP="00AB40B8">
      <w:pPr>
        <w:pStyle w:val="IntenseQuote"/>
        <w:rPr>
          <w:rFonts w:eastAsiaTheme="minorEastAsia"/>
        </w:rPr>
      </w:pPr>
      <w:proofErr w:type="spellStart"/>
      <w:r>
        <w:t>Wye_Z</w:t>
      </w:r>
      <w:proofErr w:type="spellEnd"/>
      <w:r>
        <w:t>-n</w:t>
      </w:r>
    </w:p>
    <w:tbl>
      <w:tblPr>
        <w:tblStyle w:val="TableGrid"/>
        <w:tblW w:w="9177" w:type="dxa"/>
        <w:tblLook w:val="04A0"/>
      </w:tblPr>
      <w:tblGrid>
        <w:gridCol w:w="1138"/>
        <w:gridCol w:w="1114"/>
        <w:gridCol w:w="1115"/>
        <w:gridCol w:w="1115"/>
        <w:gridCol w:w="1296"/>
        <w:gridCol w:w="3399"/>
      </w:tblGrid>
      <w:tr w:rsidR="00CF74F7" w:rsidTr="00C351E7">
        <w:trPr>
          <w:gridAfter w:val="1"/>
          <w:wAfter w:w="3399" w:type="dxa"/>
          <w:trHeight w:val="368"/>
        </w:trPr>
        <w:tc>
          <w:tcPr>
            <w:tcW w:w="1138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Switch open</w:t>
            </w:r>
          </w:p>
        </w:tc>
        <w:tc>
          <w:tcPr>
            <w:tcW w:w="4640" w:type="dxa"/>
            <w:gridSpan w:val="4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Switch closed</w:t>
            </w:r>
          </w:p>
        </w:tc>
      </w:tr>
      <w:tr w:rsidR="00CF74F7" w:rsidTr="00C351E7">
        <w:trPr>
          <w:trHeight w:val="275"/>
        </w:trPr>
        <w:tc>
          <w:tcPr>
            <w:tcW w:w="1138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Vnl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(V)</w:t>
            </w:r>
          </w:p>
        </w:tc>
        <w:tc>
          <w:tcPr>
            <w:tcW w:w="1114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(A)</w:t>
            </w:r>
          </w:p>
        </w:tc>
        <w:tc>
          <w:tcPr>
            <w:tcW w:w="1115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Voc (V)</w:t>
            </w:r>
          </w:p>
        </w:tc>
        <w:tc>
          <w:tcPr>
            <w:tcW w:w="1115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Vob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(V)</w:t>
            </w:r>
          </w:p>
        </w:tc>
        <w:tc>
          <w:tcPr>
            <w:tcW w:w="1296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Voa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(V)</w:t>
            </w:r>
          </w:p>
        </w:tc>
        <w:tc>
          <w:tcPr>
            <w:tcW w:w="3399" w:type="dxa"/>
          </w:tcPr>
          <w:p w:rsidR="00CF74F7" w:rsidRDefault="00751D14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oa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ob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oc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</w:tr>
      <w:tr w:rsidR="00CF74F7" w:rsidTr="00C351E7">
        <w:trPr>
          <w:trHeight w:val="290"/>
        </w:trPr>
        <w:tc>
          <w:tcPr>
            <w:tcW w:w="1138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1114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5.25</w:t>
            </w:r>
          </w:p>
        </w:tc>
        <w:tc>
          <w:tcPr>
            <w:tcW w:w="1115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65.1</w:t>
            </w:r>
          </w:p>
        </w:tc>
        <w:tc>
          <w:tcPr>
            <w:tcW w:w="1115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1296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67.9</w:t>
            </w:r>
          </w:p>
        </w:tc>
        <w:tc>
          <w:tcPr>
            <w:tcW w:w="3399" w:type="dxa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</w:tr>
    </w:tbl>
    <w:p w:rsidR="008B156D" w:rsidRDefault="008B156D" w:rsidP="00AB40B8">
      <w:pPr>
        <w:pStyle w:val="Title"/>
      </w:pPr>
    </w:p>
    <w:p w:rsidR="008B156D" w:rsidRDefault="008B156D" w:rsidP="00AB40B8">
      <w:pPr>
        <w:pStyle w:val="Title"/>
      </w:pPr>
    </w:p>
    <w:p w:rsidR="00AB40B8" w:rsidRDefault="00AB40B8" w:rsidP="00AB40B8">
      <w:pPr>
        <w:pStyle w:val="Title"/>
      </w:pPr>
      <w:r>
        <w:lastRenderedPageBreak/>
        <w:t>Calculated Data Tabulation</w:t>
      </w:r>
    </w:p>
    <w:p w:rsidR="00AB40B8" w:rsidRDefault="008B156D" w:rsidP="00AB40B8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To calculate the voltage regulation X we use the following formula:</w:t>
      </w:r>
    </w:p>
    <w:p w:rsidR="008B156D" w:rsidRDefault="008B156D" w:rsidP="008B156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m:oMathPara>
        <m:oMath>
          <m:r>
            <w:rPr>
              <w:rFonts w:ascii="Cambria Math" w:hAnsi="Cambria Math" w:cstheme="majorBidi"/>
              <w:sz w:val="26"/>
              <w:szCs w:val="26"/>
            </w:rPr>
            <m:t>X=</m:t>
          </m:r>
          <m:f>
            <m:fPr>
              <m:ctrlPr>
                <w:rPr>
                  <w:rFonts w:ascii="Cambria Math" w:hAnsi="Cambria Math" w:cstheme="majorBidi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nl</m:t>
                  </m:r>
                </m:sub>
              </m:sSub>
              <m:r>
                <w:rPr>
                  <w:rFonts w:ascii="Cambria Math" w:hAnsi="Cambria Math" w:cstheme="majorBidi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fl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fl</m:t>
                  </m:r>
                </m:sub>
              </m:sSub>
            </m:den>
          </m:f>
          <m:r>
            <w:rPr>
              <w:rFonts w:ascii="Cambria Math" w:hAnsi="Cambria Math" w:cstheme="majorBidi"/>
              <w:sz w:val="26"/>
              <w:szCs w:val="26"/>
            </w:rPr>
            <m:t xml:space="preserve"> x 100%</m:t>
          </m:r>
        </m:oMath>
      </m:oMathPara>
    </w:p>
    <w:p w:rsidR="008B156D" w:rsidRDefault="008B156D" w:rsidP="008B156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value of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nl</m:t>
            </m:r>
          </m:sub>
        </m:sSub>
        <m:r>
          <w:rPr>
            <w:rFonts w:ascii="Cambria Math" w:hAnsi="Cambria Math" w:cstheme="majorBidi"/>
            <w:sz w:val="26"/>
            <w:szCs w:val="26"/>
          </w:rPr>
          <m:t>=68 V</m:t>
        </m:r>
      </m:oMath>
      <w:r>
        <w:rPr>
          <w:rFonts w:asciiTheme="majorBidi" w:hAnsiTheme="majorBidi" w:cstheme="majorBidi"/>
          <w:sz w:val="26"/>
          <w:szCs w:val="26"/>
        </w:rPr>
        <w:t xml:space="preserve"> and the value of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fl</m:t>
            </m:r>
          </m:sub>
        </m:sSub>
        <m:r>
          <w:rPr>
            <w:rFonts w:ascii="Cambria Math" w:hAnsi="Cambria Math" w:cstheme="majorBidi"/>
            <w:sz w:val="26"/>
            <w:szCs w:val="26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oa</m:t>
                </m:r>
              </m:sub>
            </m:sSub>
            <m:r>
              <w:rPr>
                <w:rFonts w:ascii="Cambria Math" w:hAnsi="Cambria Math" w:cstheme="majorBidi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ob</m:t>
                </m:r>
              </m:sub>
            </m:sSub>
            <m:r>
              <w:rPr>
                <w:rFonts w:ascii="Cambria Math" w:hAnsi="Cambria Math" w:cstheme="majorBidi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oc</m:t>
                </m:r>
              </m:sub>
            </m:sSub>
          </m:num>
          <m:den>
            <m:r>
              <w:rPr>
                <w:rFonts w:ascii="Cambria Math" w:hAnsi="Cambria Math" w:cstheme="majorBidi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theme="majorBidi"/>
            <w:sz w:val="26"/>
            <w:szCs w:val="26"/>
          </w:rPr>
          <m:t xml:space="preserve"> </m:t>
        </m:r>
      </m:oMath>
      <w:r>
        <w:rPr>
          <w:rFonts w:asciiTheme="majorBidi" w:hAnsiTheme="majorBidi" w:cstheme="majorBidi"/>
          <w:sz w:val="26"/>
          <w:szCs w:val="26"/>
        </w:rPr>
        <w:t xml:space="preserve"> at each connection.</w:t>
      </w:r>
    </w:p>
    <w:p w:rsidR="008B156D" w:rsidRPr="008B156D" w:rsidRDefault="008B156D" w:rsidP="008B156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23"/>
        <w:gridCol w:w="3358"/>
      </w:tblGrid>
      <w:tr w:rsidR="00AB40B8" w:rsidTr="00C351E7">
        <w:trPr>
          <w:jc w:val="center"/>
        </w:trPr>
        <w:tc>
          <w:tcPr>
            <w:tcW w:w="0" w:type="auto"/>
          </w:tcPr>
          <w:p w:rsidR="00AB40B8" w:rsidRDefault="00AB40B8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Connection</w:t>
            </w:r>
          </w:p>
        </w:tc>
        <w:tc>
          <w:tcPr>
            <w:tcW w:w="0" w:type="auto"/>
          </w:tcPr>
          <w:p w:rsidR="00AB40B8" w:rsidRDefault="00AB40B8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Voltage Regulation X</w:t>
            </w:r>
          </w:p>
        </w:tc>
      </w:tr>
      <w:tr w:rsidR="00AB40B8" w:rsidTr="00C351E7">
        <w:trPr>
          <w:jc w:val="center"/>
        </w:trPr>
        <w:tc>
          <w:tcPr>
            <w:tcW w:w="0" w:type="auto"/>
          </w:tcPr>
          <w:p w:rsidR="00AB40B8" w:rsidRDefault="00AB40B8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∆/Y</w:t>
            </w:r>
          </w:p>
        </w:tc>
        <w:tc>
          <w:tcPr>
            <w:tcW w:w="0" w:type="auto"/>
          </w:tcPr>
          <w:p w:rsidR="00AB40B8" w:rsidRDefault="008B156D" w:rsidP="00CF74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((68-</w:t>
            </w:r>
            <w:r w:rsidR="00CF74F7">
              <w:rPr>
                <w:rFonts w:asciiTheme="majorBidi" w:hAnsiTheme="majorBidi" w:cstheme="majorBidi"/>
                <w:sz w:val="24"/>
                <w:szCs w:val="24"/>
              </w:rPr>
              <w:t>67.33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)/</w:t>
            </w:r>
            <w:r w:rsidR="00CF74F7">
              <w:rPr>
                <w:rFonts w:asciiTheme="majorBidi" w:hAnsiTheme="majorBidi" w:cstheme="majorBidi"/>
                <w:sz w:val="24"/>
                <w:szCs w:val="24"/>
              </w:rPr>
              <w:t>67.33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 x 100=</w:t>
            </w:r>
            <w:r w:rsidR="00CF74F7">
              <w:rPr>
                <w:rFonts w:asciiTheme="majorBidi" w:hAnsiTheme="majorBidi" w:cstheme="majorBidi"/>
                <w:sz w:val="24"/>
                <w:szCs w:val="24"/>
              </w:rPr>
              <w:t>0.99%</w:t>
            </w:r>
          </w:p>
        </w:tc>
      </w:tr>
      <w:tr w:rsidR="00AB40B8" w:rsidTr="00C351E7">
        <w:trPr>
          <w:jc w:val="center"/>
        </w:trPr>
        <w:tc>
          <w:tcPr>
            <w:tcW w:w="0" w:type="auto"/>
          </w:tcPr>
          <w:p w:rsidR="00AB40B8" w:rsidRDefault="00AB40B8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Y/Y</w:t>
            </w:r>
          </w:p>
        </w:tc>
        <w:tc>
          <w:tcPr>
            <w:tcW w:w="0" w:type="auto"/>
          </w:tcPr>
          <w:p w:rsidR="00AB40B8" w:rsidRDefault="008B156D" w:rsidP="00CF74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((68-</w:t>
            </w:r>
            <w:r w:rsidR="00CF74F7">
              <w:rPr>
                <w:rFonts w:asciiTheme="majorBidi" w:hAnsiTheme="majorBidi" w:cstheme="majorBidi"/>
                <w:sz w:val="24"/>
                <w:szCs w:val="24"/>
              </w:rPr>
              <w:t>67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)/</w:t>
            </w:r>
            <w:r w:rsidR="00CF74F7">
              <w:rPr>
                <w:rFonts w:asciiTheme="majorBidi" w:hAnsiTheme="majorBidi" w:cstheme="majorBidi"/>
                <w:sz w:val="24"/>
                <w:szCs w:val="24"/>
              </w:rPr>
              <w:t>67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 x 100=</w:t>
            </w:r>
            <w:r w:rsidR="00CF74F7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AB40B8" w:rsidTr="00C351E7">
        <w:trPr>
          <w:jc w:val="center"/>
        </w:trPr>
        <w:tc>
          <w:tcPr>
            <w:tcW w:w="0" w:type="auto"/>
          </w:tcPr>
          <w:p w:rsidR="00AB40B8" w:rsidRDefault="00AB40B8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Y/Z</w:t>
            </w:r>
          </w:p>
        </w:tc>
        <w:tc>
          <w:tcPr>
            <w:tcW w:w="0" w:type="auto"/>
          </w:tcPr>
          <w:p w:rsidR="00AB40B8" w:rsidRDefault="008B156D" w:rsidP="00CF74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((68-</w:t>
            </w:r>
            <w:r w:rsidR="00CF74F7">
              <w:rPr>
                <w:rFonts w:asciiTheme="majorBidi" w:hAnsiTheme="majorBidi" w:cstheme="majorBidi"/>
                <w:sz w:val="24"/>
                <w:szCs w:val="24"/>
              </w:rPr>
              <w:t>67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)/</w:t>
            </w:r>
            <w:r w:rsidR="00CF74F7">
              <w:rPr>
                <w:rFonts w:asciiTheme="majorBidi" w:hAnsiTheme="majorBidi" w:cstheme="majorBidi"/>
                <w:sz w:val="24"/>
                <w:szCs w:val="24"/>
              </w:rPr>
              <w:t>67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 x 100=</w:t>
            </w:r>
            <w:r w:rsidR="00CF74F7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</w:tbl>
    <w:p w:rsidR="00AB40B8" w:rsidRDefault="00AB40B8" w:rsidP="00AB40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B40B8" w:rsidRDefault="00AB40B8" w:rsidP="00AB40B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B40B8" w:rsidRPr="008B156D" w:rsidRDefault="008B156D" w:rsidP="008B156D">
      <w:pPr>
        <w:pStyle w:val="Title"/>
      </w:pPr>
      <w:r>
        <w:t>Answers to relevant questions</w:t>
      </w:r>
    </w:p>
    <w:p w:rsidR="00AB40B8" w:rsidRDefault="008B156D" w:rsidP="008B156D">
      <w:pPr>
        <w:pStyle w:val="IntenseQuote"/>
      </w:pPr>
      <w:r>
        <w:t>I- Value of the voltage regulation</w:t>
      </w:r>
    </w:p>
    <w:tbl>
      <w:tblPr>
        <w:tblStyle w:val="TableGrid"/>
        <w:tblW w:w="0" w:type="auto"/>
        <w:jc w:val="center"/>
        <w:tblLook w:val="04A0"/>
      </w:tblPr>
      <w:tblGrid>
        <w:gridCol w:w="1323"/>
        <w:gridCol w:w="3358"/>
      </w:tblGrid>
      <w:tr w:rsidR="00CF74F7" w:rsidTr="00C351E7">
        <w:trPr>
          <w:jc w:val="center"/>
        </w:trPr>
        <w:tc>
          <w:tcPr>
            <w:tcW w:w="0" w:type="auto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Connection</w:t>
            </w:r>
          </w:p>
        </w:tc>
        <w:tc>
          <w:tcPr>
            <w:tcW w:w="0" w:type="auto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Voltage Regulation X</w:t>
            </w:r>
          </w:p>
        </w:tc>
      </w:tr>
      <w:tr w:rsidR="00CF74F7" w:rsidTr="00C351E7">
        <w:trPr>
          <w:jc w:val="center"/>
        </w:trPr>
        <w:tc>
          <w:tcPr>
            <w:tcW w:w="0" w:type="auto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∆/Y</w:t>
            </w:r>
          </w:p>
        </w:tc>
        <w:tc>
          <w:tcPr>
            <w:tcW w:w="0" w:type="auto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((68-67.33)/67.33) x 100=0.99%</w:t>
            </w:r>
          </w:p>
        </w:tc>
      </w:tr>
      <w:tr w:rsidR="00CF74F7" w:rsidTr="00C351E7">
        <w:trPr>
          <w:jc w:val="center"/>
        </w:trPr>
        <w:tc>
          <w:tcPr>
            <w:tcW w:w="0" w:type="auto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Y/Y</w:t>
            </w:r>
          </w:p>
        </w:tc>
        <w:tc>
          <w:tcPr>
            <w:tcW w:w="0" w:type="auto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((68-67)/67) x 100=1.5%</w:t>
            </w:r>
          </w:p>
        </w:tc>
      </w:tr>
      <w:tr w:rsidR="00CF74F7" w:rsidTr="00C351E7">
        <w:trPr>
          <w:jc w:val="center"/>
        </w:trPr>
        <w:tc>
          <w:tcPr>
            <w:tcW w:w="0" w:type="auto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Y/Z</w:t>
            </w:r>
          </w:p>
        </w:tc>
        <w:tc>
          <w:tcPr>
            <w:tcW w:w="0" w:type="auto"/>
          </w:tcPr>
          <w:p w:rsidR="00CF74F7" w:rsidRDefault="00CF74F7" w:rsidP="00C351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((68-67)/67) x 100=1.5%</w:t>
            </w:r>
          </w:p>
        </w:tc>
      </w:tr>
    </w:tbl>
    <w:p w:rsidR="00CF74F7" w:rsidRDefault="00CF74F7" w:rsidP="00CF74F7">
      <w:pPr>
        <w:rPr>
          <w:rFonts w:eastAsiaTheme="minorHAnsi"/>
          <w:b/>
          <w:bCs/>
          <w:i/>
          <w:iCs/>
          <w:color w:val="4F81BD" w:themeColor="accent1"/>
          <w:lang w:val="en-CA"/>
        </w:rPr>
      </w:pPr>
    </w:p>
    <w:p w:rsidR="001131B8" w:rsidRPr="00CF74F7" w:rsidRDefault="001131B8" w:rsidP="00CF74F7">
      <w:pPr>
        <w:rPr>
          <w:lang w:val="en-CA"/>
        </w:rPr>
      </w:pPr>
    </w:p>
    <w:p w:rsidR="00A65243" w:rsidRDefault="008B156D" w:rsidP="00A65243">
      <w:pPr>
        <w:pStyle w:val="IntenseQuote"/>
        <w:rPr>
          <w:rFonts w:asciiTheme="majorBidi" w:eastAsiaTheme="minorEastAsia" w:hAnsiTheme="majorBidi" w:cstheme="majorBidi"/>
          <w:sz w:val="24"/>
          <w:szCs w:val="24"/>
          <w:vertAlign w:val="subscript"/>
        </w:rPr>
      </w:pPr>
      <w:r>
        <w:t>II-</w:t>
      </w:r>
      <w:r w:rsidR="00CF74F7">
        <w:t xml:space="preserve"> </w:t>
      </w:r>
      <w:r w:rsidR="00A65243">
        <w:t>Use the numerical value of the phase voltage (V) that differs most from the rated voltage (</w:t>
      </w:r>
      <w:proofErr w:type="spellStart"/>
      <w:r w:rsidR="00A65243">
        <w:t>V</w:t>
      </w:r>
      <w:r w:rsidR="00A65243" w:rsidRPr="00FB6DE4">
        <w:rPr>
          <w:vertAlign w:val="subscript"/>
        </w:rPr>
        <w:t>nl</w:t>
      </w:r>
      <w:proofErr w:type="spellEnd"/>
      <w:r w:rsidR="00A65243">
        <w:t>), and calculate:</w:t>
      </w:r>
      <w:r w:rsidR="00A65243" w:rsidRPr="00A65243">
        <w:rPr>
          <w:rFonts w:asciiTheme="majorBidi" w:hAnsiTheme="majorBidi" w:cstheme="majorBidi"/>
          <w:sz w:val="24"/>
          <w:szCs w:val="24"/>
        </w:rPr>
        <w:t xml:space="preserve"> </w:t>
      </w:r>
      <w:r w:rsidR="00A65243">
        <w:rPr>
          <w:rFonts w:asciiTheme="majorBidi" w:eastAsiaTheme="minorEastAsia" w:hAnsiTheme="majorBidi" w:cstheme="majorBidi"/>
          <w:sz w:val="24"/>
          <w:szCs w:val="24"/>
        </w:rPr>
        <w:t>X(%) = (</w:t>
      </w:r>
      <w:proofErr w:type="spellStart"/>
      <w:r w:rsidR="00A65243">
        <w:rPr>
          <w:rFonts w:asciiTheme="majorBidi" w:eastAsiaTheme="minorEastAsia" w:hAnsiTheme="majorBidi" w:cstheme="majorBidi"/>
          <w:sz w:val="24"/>
          <w:szCs w:val="24"/>
        </w:rPr>
        <w:t>V</w:t>
      </w:r>
      <w:r w:rsidR="00A65243" w:rsidRPr="00FB6DE4">
        <w:rPr>
          <w:rFonts w:asciiTheme="majorBidi" w:eastAsiaTheme="minorEastAsia" w:hAnsiTheme="majorBidi" w:cstheme="majorBidi"/>
          <w:sz w:val="24"/>
          <w:szCs w:val="24"/>
          <w:vertAlign w:val="subscript"/>
        </w:rPr>
        <w:t>nl</w:t>
      </w:r>
      <w:proofErr w:type="spellEnd"/>
      <w:r w:rsidR="00A65243">
        <w:rPr>
          <w:rFonts w:asciiTheme="majorBidi" w:eastAsiaTheme="minorEastAsia" w:hAnsiTheme="majorBidi" w:cstheme="majorBidi"/>
          <w:sz w:val="24"/>
          <w:szCs w:val="24"/>
        </w:rPr>
        <w:t xml:space="preserve"> – V)x100/</w:t>
      </w:r>
      <w:proofErr w:type="spellStart"/>
      <w:r w:rsidR="00A65243">
        <w:rPr>
          <w:rFonts w:asciiTheme="majorBidi" w:eastAsiaTheme="minorEastAsia" w:hAnsiTheme="majorBidi" w:cstheme="majorBidi"/>
          <w:sz w:val="24"/>
          <w:szCs w:val="24"/>
        </w:rPr>
        <w:t>V</w:t>
      </w:r>
      <w:r w:rsidR="00A65243" w:rsidRPr="00FB6DE4">
        <w:rPr>
          <w:rFonts w:asciiTheme="majorBidi" w:eastAsiaTheme="minorEastAsia" w:hAnsiTheme="majorBidi" w:cstheme="majorBidi"/>
          <w:sz w:val="24"/>
          <w:szCs w:val="24"/>
          <w:vertAlign w:val="subscript"/>
        </w:rPr>
        <w:t>nl</w:t>
      </w:r>
      <w:proofErr w:type="spellEnd"/>
    </w:p>
    <w:p w:rsidR="00CF74F7" w:rsidRDefault="00CF74F7" w:rsidP="00CF74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74F7" w:rsidRDefault="00CF74F7" w:rsidP="00CF74F7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∆/Y-n connection:</w:t>
      </w:r>
    </w:p>
    <w:p w:rsidR="00CF74F7" w:rsidRDefault="00CF74F7" w:rsidP="00CF74F7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CF74F7" w:rsidRPr="00DC6AEB" w:rsidRDefault="00A65243" w:rsidP="00CF74F7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V=65.8V</m:t>
          </m:r>
        </m:oMath>
      </m:oMathPara>
    </w:p>
    <w:p w:rsidR="00CF74F7" w:rsidRPr="00DC6AEB" w:rsidRDefault="00CF74F7" w:rsidP="00CF74F7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68-65.8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68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×100=3.34%</m:t>
          </m:r>
        </m:oMath>
      </m:oMathPara>
    </w:p>
    <w:p w:rsidR="00CF74F7" w:rsidRDefault="00CF74F7" w:rsidP="00CF74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74F7" w:rsidRDefault="00CF74F7" w:rsidP="00CF74F7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Y/Y-n connection:</w:t>
      </w:r>
    </w:p>
    <w:p w:rsidR="00CF74F7" w:rsidRDefault="00CF74F7" w:rsidP="00CF74F7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CF74F7" w:rsidRPr="00DC6AEB" w:rsidRDefault="00A65243" w:rsidP="00CF74F7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V=65.1V</m:t>
          </m:r>
        </m:oMath>
      </m:oMathPara>
    </w:p>
    <w:p w:rsidR="00CF74F7" w:rsidRPr="00DC6AEB" w:rsidRDefault="00CF74F7" w:rsidP="00CF74F7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68-65.1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68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×100=4.26%</m:t>
          </m:r>
        </m:oMath>
      </m:oMathPara>
    </w:p>
    <w:p w:rsidR="00CF74F7" w:rsidRDefault="00CF74F7" w:rsidP="00CF74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74F7" w:rsidRDefault="00CF74F7" w:rsidP="00CF74F7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Y/Z-n connection:</w:t>
      </w:r>
    </w:p>
    <w:p w:rsidR="00CF74F7" w:rsidRDefault="00CF74F7" w:rsidP="00CF74F7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CF74F7" w:rsidRPr="00DC6AEB" w:rsidRDefault="00A65243" w:rsidP="00CF74F7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V=65.1V</m:t>
          </m:r>
        </m:oMath>
      </m:oMathPara>
    </w:p>
    <w:p w:rsidR="00CF74F7" w:rsidRPr="00D458B7" w:rsidRDefault="00CF74F7" w:rsidP="00A65243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68-65.1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68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×100=4.26%</m:t>
          </m:r>
        </m:oMath>
      </m:oMathPara>
    </w:p>
    <w:p w:rsidR="00AB40B8" w:rsidRDefault="00AB40B8" w:rsidP="00AB40B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B40B8" w:rsidRDefault="00AB40B8" w:rsidP="00AB40B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B40B8" w:rsidRDefault="00A65243" w:rsidP="00A65243">
      <w:pPr>
        <w:pStyle w:val="IntenseQuote"/>
      </w:pPr>
      <w:r>
        <w:t>III-Advantages and Disadvantage of each connection</w:t>
      </w: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  <w:u w:val="single"/>
        </w:rPr>
      </w:pPr>
      <w:r w:rsidRPr="00BD2B4C">
        <w:rPr>
          <w:rFonts w:asciiTheme="majorBidi" w:hAnsiTheme="majorBidi" w:cstheme="majorBidi"/>
          <w:sz w:val="26"/>
          <w:szCs w:val="26"/>
          <w:u w:val="single"/>
        </w:rPr>
        <w:t>∆/Y-n connection:</w:t>
      </w: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  <w:u w:val="single"/>
        </w:rPr>
      </w:pP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D2B4C">
        <w:rPr>
          <w:rFonts w:asciiTheme="majorBidi" w:hAnsiTheme="majorBidi" w:cstheme="majorBidi"/>
          <w:sz w:val="26"/>
          <w:szCs w:val="26"/>
        </w:rPr>
        <w:t>Advantages:</w:t>
      </w:r>
    </w:p>
    <w:p w:rsidR="00A65243" w:rsidRPr="00BD2B4C" w:rsidRDefault="00A65243" w:rsidP="00A65243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Theme="minorEastAsia" w:hAnsiTheme="majorBidi" w:cstheme="majorBidi"/>
          <w:sz w:val="26"/>
          <w:szCs w:val="26"/>
        </w:rPr>
      </w:pPr>
      <w:r w:rsidRPr="00BD2B4C">
        <w:rPr>
          <w:rFonts w:asciiTheme="majorBidi" w:eastAsiaTheme="minorEastAsia" w:hAnsiTheme="majorBidi" w:cstheme="majorBidi"/>
          <w:sz w:val="26"/>
          <w:szCs w:val="26"/>
        </w:rPr>
        <w:t>The Delta connection on the primary is responsible for trapping the undesirable third harmonic magnetizing current.</w:t>
      </w:r>
    </w:p>
    <w:p w:rsidR="00A65243" w:rsidRPr="00BD2B4C" w:rsidRDefault="00A65243" w:rsidP="00A65243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Theme="minorEastAsia" w:hAnsiTheme="majorBidi" w:cstheme="majorBidi"/>
          <w:sz w:val="26"/>
          <w:szCs w:val="26"/>
        </w:rPr>
      </w:pPr>
      <w:r w:rsidRPr="00BD2B4C">
        <w:rPr>
          <w:rFonts w:asciiTheme="majorBidi" w:eastAsiaTheme="minorEastAsia" w:hAnsiTheme="majorBidi" w:cstheme="majorBidi"/>
          <w:sz w:val="26"/>
          <w:szCs w:val="26"/>
        </w:rPr>
        <w:t>The ∆ connection ensures stability since it is responsible for the redistribution of the load misbalancing.</w:t>
      </w:r>
    </w:p>
    <w:p w:rsidR="00A65243" w:rsidRPr="00BD2B4C" w:rsidRDefault="00A65243" w:rsidP="00A65243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Theme="minorEastAsia" w:hAnsiTheme="majorBidi" w:cstheme="majorBidi"/>
          <w:sz w:val="26"/>
          <w:szCs w:val="26"/>
        </w:rPr>
      </w:pPr>
      <w:r w:rsidRPr="00BD2B4C">
        <w:rPr>
          <w:rFonts w:asciiTheme="majorBidi" w:eastAsiaTheme="minorEastAsia" w:hAnsiTheme="majorBidi" w:cstheme="majorBidi"/>
          <w:sz w:val="26"/>
          <w:szCs w:val="26"/>
        </w:rPr>
        <w:t xml:space="preserve">At primary side, </w:t>
      </w:r>
      <m:oMath>
        <m:sSub>
          <m:sSubPr>
            <m:ctrlPr>
              <w:rPr>
                <w:rFonts w:ascii="Cambria Math" w:eastAsiaTheme="minorEastAsia" w:hAnsiTheme="majorBidi" w:cstheme="majorBidi"/>
                <w:iCs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6"/>
                <w:szCs w:val="26"/>
              </w:rPr>
              <m:t>line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Cs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Theme="majorBidi" w:eastAsiaTheme="minorEastAsia" w:hAnsi="Cambria Math" w:cstheme="majorBidi"/>
                <w:sz w:val="26"/>
                <w:szCs w:val="26"/>
              </w:rPr>
              <m:t>∅</m:t>
            </m:r>
          </m:sub>
        </m:sSub>
      </m:oMath>
      <w:r w:rsidRPr="00BD2B4C">
        <w:rPr>
          <w:rFonts w:asciiTheme="majorBidi" w:eastAsiaTheme="minorEastAsia" w:hAnsiTheme="majorBidi" w:cstheme="majorBidi"/>
          <w:iCs/>
          <w:sz w:val="26"/>
          <w:szCs w:val="26"/>
        </w:rPr>
        <w:t xml:space="preserve">. While at the secondary side, </w:t>
      </w:r>
      <m:oMath>
        <m:sSub>
          <m:sSubPr>
            <m:ctrlPr>
              <w:rPr>
                <w:rFonts w:ascii="Cambria Math" w:eastAsiaTheme="minorEastAsia" w:hAnsiTheme="majorBidi" w:cstheme="majorBidi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6"/>
                <w:szCs w:val="26"/>
              </w:rPr>
              <m:t>line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eastAsiaTheme="minorEastAsia" w:hAnsiTheme="majorBidi" w:cstheme="majorBidi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6"/>
                <w:szCs w:val="26"/>
              </w:rPr>
              <m:t>3</m:t>
            </m:r>
          </m:e>
        </m:rad>
        <m:sSub>
          <m:sSubPr>
            <m:ctrlPr>
              <w:rPr>
                <w:rFonts w:ascii="Cambria Math" w:eastAsiaTheme="minorEastAsia" w:hAnsiTheme="majorBidi" w:cstheme="majorBidi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Theme="majorBidi" w:eastAsiaTheme="minorEastAsia" w:hAnsi="Cambria Math" w:cstheme="majorBidi"/>
                <w:sz w:val="26"/>
                <w:szCs w:val="26"/>
              </w:rPr>
              <m:t>∅</m:t>
            </m:r>
          </m:sub>
        </m:sSub>
      </m:oMath>
      <w:r w:rsidRPr="00BD2B4C">
        <w:rPr>
          <w:rFonts w:asciiTheme="majorBidi" w:eastAsiaTheme="minorEastAsia" w:hAnsiTheme="majorBidi" w:cstheme="majorBidi"/>
          <w:sz w:val="26"/>
          <w:szCs w:val="26"/>
        </w:rPr>
        <w:t>. Thus, it is a step-up transformer.</w:t>
      </w: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D2B4C">
        <w:rPr>
          <w:rFonts w:asciiTheme="majorBidi" w:hAnsiTheme="majorBidi" w:cstheme="majorBidi"/>
          <w:sz w:val="26"/>
          <w:szCs w:val="26"/>
        </w:rPr>
        <w:t>Disadvantages:</w:t>
      </w:r>
    </w:p>
    <w:p w:rsidR="00A65243" w:rsidRPr="00BD2B4C" w:rsidRDefault="00A65243" w:rsidP="00A65243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Theme="minorEastAsia" w:hAnsiTheme="majorBidi" w:cstheme="majorBidi"/>
          <w:sz w:val="26"/>
          <w:szCs w:val="26"/>
        </w:rPr>
      </w:pPr>
      <w:r w:rsidRPr="00BD2B4C">
        <w:rPr>
          <w:rFonts w:asciiTheme="majorBidi" w:eastAsiaTheme="minorEastAsia" w:hAnsiTheme="majorBidi" w:cstheme="majorBidi"/>
          <w:sz w:val="26"/>
          <w:szCs w:val="26"/>
        </w:rPr>
        <w:t>Secondary voltages lag the primary voltage by 30˚. Thus, paralleling transformers is difficult.</w:t>
      </w: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  <w:u w:val="single"/>
        </w:rPr>
      </w:pPr>
      <w:r w:rsidRPr="00BD2B4C">
        <w:rPr>
          <w:rFonts w:asciiTheme="majorBidi" w:hAnsiTheme="majorBidi" w:cstheme="majorBidi"/>
          <w:sz w:val="26"/>
          <w:szCs w:val="26"/>
          <w:u w:val="single"/>
        </w:rPr>
        <w:t>Y/Y-n connection:</w:t>
      </w: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  <w:u w:val="single"/>
        </w:rPr>
      </w:pP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D2B4C">
        <w:rPr>
          <w:rFonts w:asciiTheme="majorBidi" w:hAnsiTheme="majorBidi" w:cstheme="majorBidi"/>
          <w:sz w:val="26"/>
          <w:szCs w:val="26"/>
        </w:rPr>
        <w:t>Advantages:</w:t>
      </w:r>
    </w:p>
    <w:p w:rsidR="00A65243" w:rsidRPr="00BD2B4C" w:rsidRDefault="00A65243" w:rsidP="00A65243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Theme="minorEastAsia" w:hAnsiTheme="majorBidi" w:cstheme="majorBidi"/>
          <w:sz w:val="26"/>
          <w:szCs w:val="26"/>
        </w:rPr>
      </w:pPr>
      <w:r w:rsidRPr="00BD2B4C">
        <w:rPr>
          <w:rFonts w:asciiTheme="majorBidi" w:eastAsiaTheme="minorEastAsia" w:hAnsiTheme="majorBidi" w:cstheme="majorBidi"/>
          <w:sz w:val="26"/>
          <w:szCs w:val="26"/>
        </w:rPr>
        <w:t>Connections are not very complicated. Thus, this connection simplifies lab measurements.</w:t>
      </w: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D2B4C">
        <w:rPr>
          <w:rFonts w:asciiTheme="majorBidi" w:hAnsiTheme="majorBidi" w:cstheme="majorBidi"/>
          <w:sz w:val="26"/>
          <w:szCs w:val="26"/>
        </w:rPr>
        <w:t>Disadvantages:</w:t>
      </w:r>
    </w:p>
    <w:p w:rsidR="00A65243" w:rsidRPr="00BD2B4C" w:rsidRDefault="00A65243" w:rsidP="00A65243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Theme="minorEastAsia" w:hAnsiTheme="majorBidi" w:cstheme="majorBidi"/>
          <w:sz w:val="26"/>
          <w:szCs w:val="26"/>
        </w:rPr>
      </w:pPr>
      <w:r w:rsidRPr="00BD2B4C">
        <w:rPr>
          <w:rFonts w:asciiTheme="majorBidi" w:eastAsiaTheme="minorEastAsia" w:hAnsiTheme="majorBidi" w:cstheme="majorBidi"/>
          <w:sz w:val="26"/>
          <w:szCs w:val="26"/>
        </w:rPr>
        <w:t>It is seldom used because of difficulties with third harmonic exciting currents.</w:t>
      </w:r>
    </w:p>
    <w:p w:rsidR="00A65243" w:rsidRPr="00BD2B4C" w:rsidRDefault="00A65243" w:rsidP="00A65243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Theme="minorEastAsia" w:hAnsiTheme="majorBidi" w:cstheme="majorBidi"/>
          <w:sz w:val="26"/>
          <w:szCs w:val="26"/>
        </w:rPr>
      </w:pPr>
      <w:r w:rsidRPr="00BD2B4C">
        <w:rPr>
          <w:rFonts w:asciiTheme="majorBidi" w:eastAsiaTheme="minorEastAsia" w:hAnsiTheme="majorBidi" w:cstheme="majorBidi"/>
          <w:sz w:val="26"/>
          <w:szCs w:val="26"/>
        </w:rPr>
        <w:t>Severely unbalanced voltages due to unbalanced loads.</w:t>
      </w: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  <w:u w:val="single"/>
        </w:rPr>
      </w:pPr>
      <w:r w:rsidRPr="00BD2B4C">
        <w:rPr>
          <w:rFonts w:asciiTheme="majorBidi" w:hAnsiTheme="majorBidi" w:cstheme="majorBidi"/>
          <w:sz w:val="26"/>
          <w:szCs w:val="26"/>
          <w:u w:val="single"/>
        </w:rPr>
        <w:t>Y/Z-n connection:</w:t>
      </w: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  <w:u w:val="single"/>
        </w:rPr>
      </w:pP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D2B4C">
        <w:rPr>
          <w:rFonts w:asciiTheme="majorBidi" w:hAnsiTheme="majorBidi" w:cstheme="majorBidi"/>
          <w:sz w:val="26"/>
          <w:szCs w:val="26"/>
        </w:rPr>
        <w:t>Advantages:</w:t>
      </w:r>
    </w:p>
    <w:p w:rsidR="00A65243" w:rsidRPr="00BD2B4C" w:rsidRDefault="00BD2B4C" w:rsidP="00A6524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Theme="minorEastAsia" w:hAnsiTheme="majorBidi" w:cstheme="majorBidi"/>
          <w:sz w:val="26"/>
          <w:szCs w:val="26"/>
        </w:rPr>
      </w:pPr>
      <w:r w:rsidRPr="00BD2B4C">
        <w:rPr>
          <w:rFonts w:asciiTheme="majorBidi" w:eastAsiaTheme="minorEastAsia" w:hAnsiTheme="majorBidi" w:cstheme="majorBidi"/>
          <w:sz w:val="26"/>
          <w:szCs w:val="26"/>
        </w:rPr>
        <w:t xml:space="preserve">Theoretically speaking, it has the </w:t>
      </w:r>
      <w:r w:rsidR="00A65243" w:rsidRPr="00BD2B4C">
        <w:rPr>
          <w:rFonts w:asciiTheme="majorBidi" w:eastAsiaTheme="minorEastAsia" w:hAnsiTheme="majorBidi" w:cstheme="majorBidi"/>
          <w:sz w:val="26"/>
          <w:szCs w:val="26"/>
        </w:rPr>
        <w:t>Highest voltage regulation.</w:t>
      </w: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A65243" w:rsidRPr="00BD2B4C" w:rsidRDefault="00A65243" w:rsidP="00A6524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D2B4C">
        <w:rPr>
          <w:rFonts w:asciiTheme="majorBidi" w:hAnsiTheme="majorBidi" w:cstheme="majorBidi"/>
          <w:sz w:val="26"/>
          <w:szCs w:val="26"/>
        </w:rPr>
        <w:t>Disadvantages:</w:t>
      </w:r>
    </w:p>
    <w:p w:rsidR="00AB40B8" w:rsidRPr="00BD2B4C" w:rsidRDefault="00BD2B4C" w:rsidP="00BD2B4C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BD2B4C">
        <w:rPr>
          <w:rFonts w:asciiTheme="majorBidi" w:hAnsiTheme="majorBidi" w:cstheme="majorBidi"/>
          <w:sz w:val="26"/>
          <w:szCs w:val="26"/>
        </w:rPr>
        <w:t>Not used in the actual connection</w:t>
      </w:r>
    </w:p>
    <w:p w:rsidR="00BD2B4C" w:rsidRPr="00BD2B4C" w:rsidRDefault="00BD2B4C" w:rsidP="00BD2B4C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BD2B4C">
        <w:rPr>
          <w:rFonts w:asciiTheme="majorBidi" w:hAnsiTheme="majorBidi" w:cstheme="majorBidi"/>
          <w:sz w:val="26"/>
          <w:szCs w:val="26"/>
        </w:rPr>
        <w:t>Does not eliminate the third harmonic</w:t>
      </w:r>
    </w:p>
    <w:p w:rsidR="00BD2B4C" w:rsidRPr="00BD2B4C" w:rsidRDefault="00BD2B4C" w:rsidP="00BD2B4C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BD2B4C">
        <w:rPr>
          <w:rFonts w:asciiTheme="majorBidi" w:hAnsiTheme="majorBidi" w:cstheme="majorBidi"/>
          <w:sz w:val="26"/>
          <w:szCs w:val="26"/>
        </w:rPr>
        <w:lastRenderedPageBreak/>
        <w:t>Connections are complicated</w:t>
      </w:r>
    </w:p>
    <w:p w:rsidR="00BD2B4C" w:rsidRDefault="00BD2B4C" w:rsidP="00BD2B4C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1131B8" w:rsidRDefault="001131B8" w:rsidP="001131B8">
      <w:pPr>
        <w:pStyle w:val="IntenseQuote"/>
      </w:pPr>
      <w:r>
        <w:rPr>
          <w:sz w:val="26"/>
          <w:szCs w:val="26"/>
        </w:rPr>
        <w:t>IV</w:t>
      </w:r>
      <w:r>
        <w:t>. Which connection is best suited for unbalanced loading? Explain.</w:t>
      </w:r>
    </w:p>
    <w:p w:rsidR="001131B8" w:rsidRDefault="001131B8" w:rsidP="001131B8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best connection suited for unbalanced loading is the </w:t>
      </w:r>
      <w:proofErr w:type="spellStart"/>
      <w:r>
        <w:rPr>
          <w:rFonts w:asciiTheme="majorBidi" w:hAnsiTheme="majorBidi" w:cstheme="majorBidi"/>
          <w:sz w:val="26"/>
          <w:szCs w:val="26"/>
        </w:rPr>
        <w:t>Wye_Z</w:t>
      </w:r>
      <w:proofErr w:type="spellEnd"/>
      <w:r>
        <w:rPr>
          <w:rFonts w:asciiTheme="majorBidi" w:hAnsiTheme="majorBidi" w:cstheme="majorBidi"/>
          <w:sz w:val="26"/>
          <w:szCs w:val="26"/>
        </w:rPr>
        <w:t>-n connection since it has the best voltage regulation of 1.5%.</w:t>
      </w:r>
    </w:p>
    <w:p w:rsidR="001131B8" w:rsidRDefault="001131B8" w:rsidP="001131B8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131B8" w:rsidRDefault="001131B8" w:rsidP="001131B8">
      <w:pPr>
        <w:pStyle w:val="IntenseQuote"/>
      </w:pPr>
      <w:r>
        <w:rPr>
          <w:sz w:val="26"/>
          <w:szCs w:val="26"/>
        </w:rPr>
        <w:t>V-</w:t>
      </w:r>
      <w:r w:rsidRPr="001131B8">
        <w:t xml:space="preserve"> </w:t>
      </w:r>
      <w:r>
        <w:t>Which connection is most commonly used? Explain.</w:t>
      </w:r>
    </w:p>
    <w:p w:rsidR="001131B8" w:rsidRPr="001131B8" w:rsidRDefault="001131B8" w:rsidP="001131B8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best connection is however not the most commonly used. The most used connection is the </w:t>
      </w:r>
      <w:proofErr w:type="spellStart"/>
      <w:r>
        <w:rPr>
          <w:rFonts w:asciiTheme="majorBidi" w:hAnsiTheme="majorBidi" w:cstheme="majorBidi"/>
          <w:sz w:val="26"/>
          <w:szCs w:val="26"/>
        </w:rPr>
        <w:t>Delta_Wye</w:t>
      </w:r>
      <w:proofErr w:type="spellEnd"/>
      <w:r>
        <w:rPr>
          <w:rFonts w:asciiTheme="majorBidi" w:hAnsiTheme="majorBidi" w:cstheme="majorBidi"/>
          <w:sz w:val="26"/>
          <w:szCs w:val="26"/>
        </w:rPr>
        <w:t>-n connection since it eliminate the undesirable harmonics.</w:t>
      </w:r>
    </w:p>
    <w:p w:rsidR="00BD2B4C" w:rsidRPr="00BD2B4C" w:rsidRDefault="00BD2B4C" w:rsidP="00BD2B4C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D2B4C" w:rsidRPr="00BD2B4C" w:rsidRDefault="00BD2B4C" w:rsidP="00BD2B4C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B40B8" w:rsidRDefault="00AB40B8" w:rsidP="00AB40B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66D3" w:rsidRPr="00AB40B8" w:rsidRDefault="007F66D3" w:rsidP="00A65243">
      <w:pPr>
        <w:rPr>
          <w:lang w:val="en-CA"/>
        </w:rPr>
      </w:pPr>
    </w:p>
    <w:sectPr w:rsidR="007F66D3" w:rsidRPr="00AB40B8" w:rsidSect="000D3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F7D"/>
    <w:multiLevelType w:val="hybridMultilevel"/>
    <w:tmpl w:val="25AA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0554"/>
    <w:multiLevelType w:val="hybridMultilevel"/>
    <w:tmpl w:val="A8C415F6"/>
    <w:lvl w:ilvl="0" w:tplc="8C30B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64E7"/>
    <w:multiLevelType w:val="hybridMultilevel"/>
    <w:tmpl w:val="A27C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C55F7"/>
    <w:multiLevelType w:val="hybridMultilevel"/>
    <w:tmpl w:val="5D5860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906D82"/>
    <w:multiLevelType w:val="hybridMultilevel"/>
    <w:tmpl w:val="6C68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15390"/>
    <w:rsid w:val="0002025D"/>
    <w:rsid w:val="000D306E"/>
    <w:rsid w:val="001131B8"/>
    <w:rsid w:val="005301B2"/>
    <w:rsid w:val="00751D14"/>
    <w:rsid w:val="007F66D3"/>
    <w:rsid w:val="008B156D"/>
    <w:rsid w:val="00915390"/>
    <w:rsid w:val="00A65243"/>
    <w:rsid w:val="00AB40B8"/>
    <w:rsid w:val="00BD2B4C"/>
    <w:rsid w:val="00CF74F7"/>
    <w:rsid w:val="00D0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6E"/>
  </w:style>
  <w:style w:type="paragraph" w:styleId="Heading1">
    <w:name w:val="heading 1"/>
    <w:basedOn w:val="Normal"/>
    <w:next w:val="Normal"/>
    <w:link w:val="Heading1Char"/>
    <w:uiPriority w:val="9"/>
    <w:qFormat/>
    <w:rsid w:val="007F6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5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915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539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390"/>
    <w:rPr>
      <w:rFonts w:eastAsiaTheme="minorHAnsi"/>
      <w:b/>
      <w:bCs/>
      <w:i/>
      <w:iCs/>
      <w:color w:val="4F81BD" w:themeColor="accent1"/>
      <w:lang w:val="en-CA"/>
    </w:rPr>
  </w:style>
  <w:style w:type="paragraph" w:styleId="ListParagraph">
    <w:name w:val="List Paragraph"/>
    <w:basedOn w:val="Normal"/>
    <w:uiPriority w:val="34"/>
    <w:qFormat/>
    <w:rsid w:val="00915390"/>
    <w:pPr>
      <w:ind w:left="720"/>
      <w:contextualSpacing/>
    </w:pPr>
    <w:rPr>
      <w:rFonts w:eastAsiaTheme="minorHAns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6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table" w:styleId="TableGrid">
    <w:name w:val="Table Grid"/>
    <w:basedOn w:val="TableNormal"/>
    <w:uiPriority w:val="59"/>
    <w:rsid w:val="007F66D3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5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User</cp:lastModifiedBy>
  <cp:revision>6</cp:revision>
  <dcterms:created xsi:type="dcterms:W3CDTF">2010-03-13T09:49:00Z</dcterms:created>
  <dcterms:modified xsi:type="dcterms:W3CDTF">2013-12-13T10:20:00Z</dcterms:modified>
</cp:coreProperties>
</file>